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80" w:rsidRPr="00AC1580" w:rsidRDefault="00AC1580" w:rsidP="00AC1580">
      <w:pPr>
        <w:spacing w:after="0" w:line="240" w:lineRule="auto"/>
        <w:jc w:val="both"/>
        <w:rPr>
          <w:rFonts w:ascii="Arial" w:hAnsi="Arial" w:cs="Arial"/>
          <w:b/>
          <w:sz w:val="24"/>
          <w:szCs w:val="24"/>
        </w:rPr>
      </w:pPr>
      <w:r w:rsidRPr="00AC1580">
        <w:rPr>
          <w:rFonts w:ascii="Arial" w:hAnsi="Arial" w:cs="Arial"/>
          <w:b/>
          <w:sz w:val="24"/>
          <w:szCs w:val="24"/>
        </w:rPr>
        <w:t>Acta Legislativa Mundial #41 Publicación</w:t>
      </w:r>
    </w:p>
    <w:p w:rsidR="00AC1580" w:rsidRDefault="00AC1580" w:rsidP="00AC1580">
      <w:pPr>
        <w:spacing w:after="0" w:line="240" w:lineRule="auto"/>
        <w:jc w:val="both"/>
        <w:rPr>
          <w:rFonts w:ascii="Arial" w:hAnsi="Arial" w:cs="Arial"/>
          <w:sz w:val="24"/>
          <w:szCs w:val="24"/>
        </w:rPr>
      </w:pPr>
    </w:p>
    <w:p w:rsidR="00AC1580" w:rsidRDefault="00AC1580" w:rsidP="00AC1580">
      <w:pPr>
        <w:spacing w:after="0" w:line="240" w:lineRule="auto"/>
        <w:jc w:val="both"/>
        <w:rPr>
          <w:rFonts w:ascii="Arial" w:hAnsi="Arial" w:cs="Arial"/>
          <w:sz w:val="24"/>
          <w:szCs w:val="24"/>
        </w:rPr>
      </w:pPr>
      <w:r>
        <w:rPr>
          <w:rFonts w:ascii="Arial" w:hAnsi="Arial" w:cs="Arial"/>
          <w:sz w:val="24"/>
          <w:szCs w:val="24"/>
        </w:rPr>
        <w:t xml:space="preserve">(Resumen: </w:t>
      </w:r>
      <w:r w:rsidR="00AC48C4">
        <w:rPr>
          <w:rFonts w:ascii="Arial" w:hAnsi="Arial" w:cs="Arial"/>
          <w:sz w:val="24"/>
          <w:szCs w:val="24"/>
        </w:rPr>
        <w:t xml:space="preserve">Se </w:t>
      </w:r>
      <w:r w:rsidR="00AC48C4" w:rsidRPr="00AC1580">
        <w:rPr>
          <w:rFonts w:ascii="Arial" w:hAnsi="Arial" w:cs="Arial"/>
          <w:sz w:val="24"/>
          <w:szCs w:val="24"/>
        </w:rPr>
        <w:t>exig</w:t>
      </w:r>
      <w:r w:rsidR="00AC48C4">
        <w:rPr>
          <w:rFonts w:ascii="Arial" w:hAnsi="Arial" w:cs="Arial"/>
          <w:sz w:val="24"/>
          <w:szCs w:val="24"/>
        </w:rPr>
        <w:t>e</w:t>
      </w:r>
      <w:r w:rsidR="00AC48C4" w:rsidRPr="00AC1580">
        <w:rPr>
          <w:rFonts w:ascii="Arial" w:hAnsi="Arial" w:cs="Arial"/>
          <w:sz w:val="24"/>
          <w:szCs w:val="24"/>
        </w:rPr>
        <w:t xml:space="preserve"> la publicación pública de la ley mundial sobre corretaje y comercio de instrumentos financieros ilegales</w:t>
      </w:r>
      <w:r w:rsidR="00AC48C4">
        <w:rPr>
          <w:rFonts w:ascii="Arial" w:hAnsi="Arial" w:cs="Arial"/>
          <w:sz w:val="24"/>
          <w:szCs w:val="24"/>
        </w:rPr>
        <w:t>.</w:t>
      </w:r>
      <w:r>
        <w:rPr>
          <w:rFonts w:ascii="Arial" w:hAnsi="Arial" w:cs="Arial"/>
          <w:sz w:val="24"/>
          <w:szCs w:val="24"/>
        </w:rPr>
        <w:t>)</w:t>
      </w:r>
    </w:p>
    <w:p w:rsidR="00AC1580" w:rsidRDefault="00AC1580" w:rsidP="00AC1580">
      <w:pPr>
        <w:spacing w:after="0" w:line="240" w:lineRule="auto"/>
        <w:jc w:val="both"/>
        <w:rPr>
          <w:rFonts w:ascii="Arial" w:hAnsi="Arial" w:cs="Arial"/>
          <w:sz w:val="24"/>
          <w:szCs w:val="24"/>
        </w:rPr>
      </w:pPr>
    </w:p>
    <w:p w:rsidR="00AC1580" w:rsidRDefault="00AC1580" w:rsidP="00AC1580">
      <w:pPr>
        <w:spacing w:after="0" w:line="240" w:lineRule="auto"/>
        <w:jc w:val="both"/>
        <w:rPr>
          <w:rFonts w:ascii="Arial" w:hAnsi="Arial" w:cs="Arial"/>
          <w:b/>
          <w:sz w:val="24"/>
          <w:szCs w:val="24"/>
        </w:rPr>
      </w:pPr>
      <w:r w:rsidRPr="00AC1580">
        <w:rPr>
          <w:rFonts w:ascii="Arial" w:hAnsi="Arial" w:cs="Arial"/>
          <w:b/>
          <w:sz w:val="24"/>
          <w:szCs w:val="24"/>
        </w:rPr>
        <w:t>Ley Legislativa Mundial # 41</w:t>
      </w:r>
    </w:p>
    <w:p w:rsidR="00AC1580" w:rsidRPr="00AC1580" w:rsidRDefault="00AC1580" w:rsidP="00AC1580">
      <w:pPr>
        <w:spacing w:after="0" w:line="240" w:lineRule="auto"/>
        <w:jc w:val="both"/>
        <w:rPr>
          <w:rFonts w:ascii="Arial" w:hAnsi="Arial" w:cs="Arial"/>
          <w:b/>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Aprobado en la décima sesión del Parlamento Mundial provisional, convocado en Kara, Togo, África occidental, junio de 2007</w:t>
      </w:r>
    </w:p>
    <w:p w:rsidR="00AC1580" w:rsidRDefault="00AC1580"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Publicación de la Ley de Acciones de la Federación de la Tierra</w:t>
      </w:r>
    </w:p>
    <w:p w:rsidR="00AC1580" w:rsidRDefault="00AC1580"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Título corto: Publicación</w:t>
      </w:r>
    </w:p>
    <w:p w:rsidR="00AC1580" w:rsidRDefault="00AC1580"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Para informar mejor al mundo financiero sobre la legislación mundial;</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Para permitir que el mundo financiero cumpla;</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Para permitir una mejor aplicación de la legislación mundial relacionada con el corretaje y el comercio de instrumentos financieros;</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Esta décima sesión del Parlamento Mundial provisional adopta esta Ley para exigir la publicación pública de la ley mundial sobre corretaje y comercio de instrumentos financieros ilegales.</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 Procedimiento general y contenido de las publicaciones primarias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1.1. El Sistema de Aplicación asignará oficiales para publicar las disposiciones pertinentes de la ley mundial relacionadas con la inversión, el comercio y la financiación de instrumentos financieros ilegales en las puertas o cerca de las puertas de los mercados bursátiles y oficinas de todo el mundo.</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 2. El Sistema de Aplicación enviará o entregará contabilizaciones para la bolsa respectiva para publicar en el interior de la bolsa, con instrucciones para su publicación.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1.3. La publicación debe ser de alta calidad, sellada y con el emblema de la Federación de la Tierra. El anuncio puede ser laminado con un material transparente.</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1.4. La publicación incluirá las clasificaciones de delitos graves por los delitos, junto con una breve descripción de la importancia de las clasificaciones (cinco años de prisión, etc.).</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1.5. La publicación incluirá la provisión de clasificación de penalización y significado para desfigurar, destrozar, obstruir o eliminar sin autorización las publicaciones, tanto interiores como exteriores. (Publicaciones interiores o exteriores, desfiguración, obstrucción o extracción no autorizada - delito grave de clase 3). En caso de desfiguración o eliminación accidental o intencional, el Intercambio notificará inmediatamente al Sistema de cumplimiento.</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2. Fomento de la cooperación internacional.</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lastRenderedPageBreak/>
        <w:t xml:space="preserve">2.1. El Sistema de cumplimiento puede coordinar y negociar dentro del derecho mundial con las casas de cambio, las comisiones de cambio, Interpol y con la Corte Penal Internacional (CPI) para fijar adicionalmente con permiso los respectivos sellos de la agencia, pero el Sistema de cumplimiento no está obligado a hacerlo, y lo hará abstenerse de colocar sellos </w:t>
      </w:r>
      <w:proofErr w:type="spellStart"/>
      <w:r w:rsidRPr="00AC1580">
        <w:rPr>
          <w:rFonts w:ascii="Arial" w:hAnsi="Arial" w:cs="Arial"/>
          <w:sz w:val="24"/>
          <w:szCs w:val="24"/>
        </w:rPr>
        <w:t>subfederacionales</w:t>
      </w:r>
      <w:proofErr w:type="spellEnd"/>
      <w:r w:rsidRPr="00AC1580">
        <w:rPr>
          <w:rFonts w:ascii="Arial" w:hAnsi="Arial" w:cs="Arial"/>
          <w:sz w:val="24"/>
          <w:szCs w:val="24"/>
        </w:rPr>
        <w:t xml:space="preserve"> si no se obtiene el permiso, aunque también se puede colocar un sello de la Corte Mundial debidamente autorizado de cualquier corte de la Federación Provisional de la Tierra. 2.2. La</w:t>
      </w:r>
      <w:r w:rsidR="00AC48C4">
        <w:rPr>
          <w:rFonts w:ascii="Arial" w:hAnsi="Arial" w:cs="Arial"/>
          <w:sz w:val="24"/>
          <w:szCs w:val="24"/>
        </w:rPr>
        <w:t xml:space="preserve"> Corporación de Financiamiento de la Federación de la Tierra</w:t>
      </w:r>
      <w:r w:rsidRPr="00AC1580">
        <w:rPr>
          <w:rFonts w:ascii="Arial" w:hAnsi="Arial" w:cs="Arial"/>
          <w:sz w:val="24"/>
          <w:szCs w:val="24"/>
        </w:rPr>
        <w:t xml:space="preserve"> </w:t>
      </w:r>
      <w:r w:rsidR="00AC48C4">
        <w:rPr>
          <w:rFonts w:ascii="Arial" w:hAnsi="Arial" w:cs="Arial"/>
          <w:sz w:val="24"/>
          <w:szCs w:val="24"/>
        </w:rPr>
        <w:t>(</w:t>
      </w:r>
      <w:proofErr w:type="spellStart"/>
      <w:r w:rsidRPr="00AC1580">
        <w:rPr>
          <w:rFonts w:ascii="Arial" w:hAnsi="Arial" w:cs="Arial"/>
          <w:sz w:val="24"/>
          <w:szCs w:val="24"/>
        </w:rPr>
        <w:t>Earth</w:t>
      </w:r>
      <w:proofErr w:type="spellEnd"/>
      <w:r w:rsidRPr="00AC1580">
        <w:rPr>
          <w:rFonts w:ascii="Arial" w:hAnsi="Arial" w:cs="Arial"/>
          <w:sz w:val="24"/>
          <w:szCs w:val="24"/>
        </w:rPr>
        <w:t xml:space="preserve"> </w:t>
      </w:r>
      <w:proofErr w:type="spellStart"/>
      <w:r w:rsidRPr="00AC1580">
        <w:rPr>
          <w:rFonts w:ascii="Arial" w:hAnsi="Arial" w:cs="Arial"/>
          <w:sz w:val="24"/>
          <w:szCs w:val="24"/>
        </w:rPr>
        <w:t>Federation</w:t>
      </w:r>
      <w:proofErr w:type="spellEnd"/>
      <w:r w:rsidRPr="00AC1580">
        <w:rPr>
          <w:rFonts w:ascii="Arial" w:hAnsi="Arial" w:cs="Arial"/>
          <w:sz w:val="24"/>
          <w:szCs w:val="24"/>
        </w:rPr>
        <w:t xml:space="preserve"> </w:t>
      </w:r>
      <w:proofErr w:type="spellStart"/>
      <w:r w:rsidRPr="00AC1580">
        <w:rPr>
          <w:rFonts w:ascii="Arial" w:hAnsi="Arial" w:cs="Arial"/>
          <w:sz w:val="24"/>
          <w:szCs w:val="24"/>
        </w:rPr>
        <w:t>Funding</w:t>
      </w:r>
      <w:proofErr w:type="spellEnd"/>
      <w:r w:rsidRPr="00AC1580">
        <w:rPr>
          <w:rFonts w:ascii="Arial" w:hAnsi="Arial" w:cs="Arial"/>
          <w:sz w:val="24"/>
          <w:szCs w:val="24"/>
        </w:rPr>
        <w:t xml:space="preserve"> </w:t>
      </w:r>
      <w:proofErr w:type="spellStart"/>
      <w:r w:rsidRPr="00AC1580">
        <w:rPr>
          <w:rFonts w:ascii="Arial" w:hAnsi="Arial" w:cs="Arial"/>
          <w:sz w:val="24"/>
          <w:szCs w:val="24"/>
        </w:rPr>
        <w:t>Corporation</w:t>
      </w:r>
      <w:proofErr w:type="spellEnd"/>
      <w:r w:rsidR="00AC48C4">
        <w:rPr>
          <w:rFonts w:ascii="Arial" w:hAnsi="Arial" w:cs="Arial"/>
          <w:sz w:val="24"/>
          <w:szCs w:val="24"/>
        </w:rPr>
        <w:t>)</w:t>
      </w:r>
      <w:r w:rsidRPr="00AC1580">
        <w:rPr>
          <w:rFonts w:ascii="Arial" w:hAnsi="Arial" w:cs="Arial"/>
          <w:sz w:val="24"/>
          <w:szCs w:val="24"/>
        </w:rPr>
        <w:t xml:space="preserve"> puede negociar la emisión de Bonos de Indemnización a las agencias de sellado para pagar costos razonables asociados con la justificación y la emisión de los sellos respectivos.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 xml:space="preserve">2.3. Si Interpol o la Corte Penal Internacional no permiten el uso de sus respectivos sellos dentro de los 120 días de la adopción de esta Ley, el Sistema de Ejecución, el Sistema de la Corte Mundial, el Defensor del Pueblo Mundial o las personas pueden iniciar un litigio dentro </w:t>
      </w:r>
      <w:r w:rsidR="00AC48C4">
        <w:rPr>
          <w:rFonts w:ascii="Arial" w:hAnsi="Arial" w:cs="Arial"/>
          <w:sz w:val="24"/>
          <w:szCs w:val="24"/>
        </w:rPr>
        <w:t>del Sistema de la Corte Mundial</w:t>
      </w:r>
      <w:r w:rsidRPr="00AC1580">
        <w:rPr>
          <w:rFonts w:ascii="Arial" w:hAnsi="Arial" w:cs="Arial"/>
          <w:sz w:val="24"/>
          <w:szCs w:val="24"/>
        </w:rPr>
        <w:t>, incluida la Corte Permanente de Arbitraje, para solicitar la Orden de la Corte Mundial para el uso de los respectivos sellos. Si el PCA no ordena el uso de los sellos, el caso puede ir a un tribunal superior en el sistema.</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 Responsabilidad de publicación exterior e interior</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3.01. Solo los oficiales del Sistema de Aplicación pueden reemplazar o ajustar la ubicación de las publicaciones exteriores.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3.02 Por lo general, solo las personas autorizadas por la Bolsa de Valores, con autorización por escrito del Sistema de Aplicación, pueden reemplazar o ajustar las publicaciones interiores.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3.03 Como las bolsas de valores son un lugar de intercambio público, los oficiales de cumplimiento pueden, sin orden judicial, ingresar a las instalaciones de las bolsas de valores para garantizar el cumplimiento de la ley y examinar la ubicación de las publicaciones en el interior durante las horas de operación.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3.04 Los oficiales de cumplimiento pueden recomendar el reemplazo o ajuste a la ubicación de las publicaciones interiores.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3.05 Los oficiales de cumplimiento pueden entregar órdenes escritas, selladas o estampadas por el Sistema de cumplimiento, para el ajuste de la colocación de publicaciones interiores, pero deben permitir al menos 48 horas para el cumplimiento del ajuste.</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3.06. Tiempo de cumplimiento e incumplimiento</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El Sistema de cumplimiento puede enviar o entregar copias de las contabilizaciones directamente a los mercados bursátiles para que las bolsas de valores publiquen en un lugar donde los trabajadores de la bolsa probablemente verán la publicación.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3.07. Si el Sistema de cumplimiento envía o entrega estas copias, entonces la bolsa de valores debe publicar dentro de las 48 horas posteriores a la recepción de la publicación, en un lugar donde los trabajadores de la bolsa de valores verán las publicaciones.</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3.08. Si un Intercambio falla después de 48 horas de haber recibido las órdenes de publicación en el interior, el Sistema de Aplicación puede multar al Intercambio a razón de &amp; 100,000 por día. [Nota: "&amp;" se refiere a la unidad de crédito y moneda de la Hora del Planeta.]</w:t>
      </w:r>
    </w:p>
    <w:p w:rsidR="008128A5"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lastRenderedPageBreak/>
        <w:t>3.09. Si un intercambio no cumple más de 96 horas, el sistema de cumplimiento puede renunciar a la disposición legal ordinaria para la colocación de intercambio, y los oficiales pueden designar hacer y mantener la colocación, hasta que el intercambio asuma o reanude la responsabilidad.</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3.10. La acumulación de multas se detiene inmediatamente después de que el Sistema de cumplimiento recibe una afirmación por escrito para cumplir de la Bolsa de Valores, junto con el cumplimiento real.</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4. Corporaciones investigadas, acusadas o condenadas por violación.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Independientemente de la publicación de la ley, el Sistema de Aplicación puede publicar en las puertas de los mercados de valores y oficinas de todo el mundo, listas de nombres de corporaciones que están bajo investigación, acusación o condenadas por violación de la ley mundial. El Sistema de Aplicación puede ordenar publicaciones interiores.</w:t>
      </w:r>
    </w:p>
    <w:p w:rsidR="00AC48C4" w:rsidRDefault="00AC48C4" w:rsidP="00AC1580">
      <w:pPr>
        <w:spacing w:after="0" w:line="240" w:lineRule="auto"/>
        <w:jc w:val="both"/>
        <w:rPr>
          <w:rFonts w:ascii="Arial" w:hAnsi="Arial" w:cs="Arial"/>
          <w:sz w:val="24"/>
          <w:szCs w:val="24"/>
        </w:rPr>
      </w:pPr>
    </w:p>
    <w:p w:rsid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5. Restricciones de ubicación. Las publicaciones no deben obstruir ninguno de los siguientes accesorios normales:</w:t>
      </w:r>
      <w:r w:rsidR="00AC48C4">
        <w:rPr>
          <w:rFonts w:ascii="Arial" w:hAnsi="Arial" w:cs="Arial"/>
          <w:sz w:val="24"/>
          <w:szCs w:val="24"/>
        </w:rPr>
        <w:t xml:space="preserve"> </w:t>
      </w:r>
      <w:r w:rsidRPr="00AC1580">
        <w:rPr>
          <w:rFonts w:ascii="Arial" w:hAnsi="Arial" w:cs="Arial"/>
          <w:sz w:val="24"/>
          <w:szCs w:val="24"/>
        </w:rPr>
        <w:t xml:space="preserve">hidrantes; enchufes </w:t>
      </w:r>
      <w:proofErr w:type="spellStart"/>
      <w:r w:rsidRPr="00AC1580">
        <w:rPr>
          <w:rFonts w:ascii="Arial" w:hAnsi="Arial" w:cs="Arial"/>
          <w:sz w:val="24"/>
          <w:szCs w:val="24"/>
        </w:rPr>
        <w:t>electricos</w:t>
      </w:r>
      <w:proofErr w:type="spellEnd"/>
      <w:r w:rsidRPr="00AC1580">
        <w:rPr>
          <w:rFonts w:ascii="Arial" w:hAnsi="Arial" w:cs="Arial"/>
          <w:sz w:val="24"/>
          <w:szCs w:val="24"/>
        </w:rPr>
        <w:t>; medidores de servicios públicos; señales de seguridad; lámparas; salidas de aire; puertas de servicios públicos a nivel de aceras o cubiertas de servicios públicos; o pantallas normales, como directorios de oficina.</w:t>
      </w:r>
    </w:p>
    <w:p w:rsidR="00AC48C4" w:rsidRPr="00AC1580"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La publicación no debe obstruir los letreros de seguridad, el nombre del edificio, el logotipo o la dirección del edificio, a menos que el letrero de seguridad, el nombre del edificio, el logotipo o la dirección sean meras calcomanías en la puerta, en cuyo caso la publicación puede continuar y el Sistema de cumplimiento puede iniciar una negociación compensatoria colocación de una señal de seguridad, nombre del edificio, logotipo o dirección en alguna otra ubicación.</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6. Documentos de identificación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Los funcionarios del Sistema de cumplimiento llevarán documentos de identificación válidos emitidos por el Sistema de cumplimiento mientras estén de servicio y en las instalaciones de cualquier Bolsa de valores.</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7. Áreas de acceso restringido y requisitos de orden o invitación. Los funcionarios encargados de hacer cumplir la ley no pueden ingresar a las oficinas que no son un lugar habitual para que los trabajadores de la bolsa de valores se reúnan, a menos que una persona autorizada por la Bolsa de Valores lo autorice o invite a hacerlo (infracción, delito menor de clase 1). Por ejemplo, el oficial de cumplimiento puede ingresar a las cafeterías, pasillos, baños y pisos de la bolsa de valores sin garantía durante el horario comercial normal. Sin embargo, sin una orden para hacerlo, el oficial de cumplimiento no debe ingresar a oficinas privadas donde no se realizan llamadas públicas sin el permiso de la persona asignada a la oficina respectiva, ni entrar o permanecer fuera del horario de atención mientras el intercambio está cerrado y vacío de empleados (infracción, delito menor de clase 1) Cualquier empleado o contratista de la Bolsa de Valores con acceso habitual a una oficina puede extender una invitación oral o escrita.</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lastRenderedPageBreak/>
        <w:t>8. Vigilancia en público</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Como los mercados bursátiles del mundo son lugares para el comercio público, donde hay evidencia abrumadora de violaciones de delitos graves en el mundo con cientos de millones o miles de millones de unidades de la Tierra de valor de los créditos de comercio ilegal a diario, poniendo en peligro la vida de todo el mundo. Los funcionarios de</w:t>
      </w:r>
      <w:r w:rsidR="00AC48C4">
        <w:rPr>
          <w:rFonts w:ascii="Arial" w:hAnsi="Arial" w:cs="Arial"/>
          <w:sz w:val="24"/>
          <w:szCs w:val="24"/>
        </w:rPr>
        <w:t xml:space="preserve">l Sistema de </w:t>
      </w:r>
      <w:proofErr w:type="spellStart"/>
      <w:r w:rsidR="00AC48C4">
        <w:rPr>
          <w:rFonts w:ascii="Arial" w:hAnsi="Arial" w:cs="Arial"/>
          <w:sz w:val="24"/>
          <w:szCs w:val="24"/>
        </w:rPr>
        <w:t>Enforzamiento</w:t>
      </w:r>
      <w:proofErr w:type="spellEnd"/>
      <w:r w:rsidR="00AC48C4">
        <w:rPr>
          <w:rFonts w:ascii="Arial" w:hAnsi="Arial" w:cs="Arial"/>
          <w:sz w:val="24"/>
          <w:szCs w:val="24"/>
        </w:rPr>
        <w:t xml:space="preserve"> de la Tierra (</w:t>
      </w:r>
      <w:proofErr w:type="spellStart"/>
      <w:r w:rsidRPr="00AC1580">
        <w:rPr>
          <w:rFonts w:ascii="Arial" w:hAnsi="Arial" w:cs="Arial"/>
          <w:sz w:val="24"/>
          <w:szCs w:val="24"/>
        </w:rPr>
        <w:t>Earth</w:t>
      </w:r>
      <w:proofErr w:type="spellEnd"/>
      <w:r w:rsidRPr="00AC1580">
        <w:rPr>
          <w:rFonts w:ascii="Arial" w:hAnsi="Arial" w:cs="Arial"/>
          <w:sz w:val="24"/>
          <w:szCs w:val="24"/>
        </w:rPr>
        <w:t xml:space="preserve"> </w:t>
      </w:r>
      <w:proofErr w:type="spellStart"/>
      <w:r w:rsidRPr="00AC1580">
        <w:rPr>
          <w:rFonts w:ascii="Arial" w:hAnsi="Arial" w:cs="Arial"/>
          <w:sz w:val="24"/>
          <w:szCs w:val="24"/>
        </w:rPr>
        <w:t>Enforcement</w:t>
      </w:r>
      <w:proofErr w:type="spellEnd"/>
      <w:r w:rsidRPr="00AC1580">
        <w:rPr>
          <w:rFonts w:ascii="Arial" w:hAnsi="Arial" w:cs="Arial"/>
          <w:sz w:val="24"/>
          <w:szCs w:val="24"/>
        </w:rPr>
        <w:t xml:space="preserve"> </w:t>
      </w:r>
      <w:proofErr w:type="spellStart"/>
      <w:r w:rsidRPr="00AC1580">
        <w:rPr>
          <w:rFonts w:ascii="Arial" w:hAnsi="Arial" w:cs="Arial"/>
          <w:sz w:val="24"/>
          <w:szCs w:val="24"/>
        </w:rPr>
        <w:t>System</w:t>
      </w:r>
      <w:proofErr w:type="spellEnd"/>
      <w:r w:rsidR="00AC48C4">
        <w:rPr>
          <w:rFonts w:ascii="Arial" w:hAnsi="Arial" w:cs="Arial"/>
          <w:sz w:val="24"/>
          <w:szCs w:val="24"/>
        </w:rPr>
        <w:t>)</w:t>
      </w:r>
      <w:r w:rsidRPr="00AC1580">
        <w:rPr>
          <w:rFonts w:ascii="Arial" w:hAnsi="Arial" w:cs="Arial"/>
          <w:sz w:val="24"/>
          <w:szCs w:val="24"/>
        </w:rPr>
        <w:t xml:space="preserve"> tienen autorización para hacer grabaciones de video, audio o digitales sin garantía, abierta o encubierta, fuera de cualquier entrada o dentro de las instalaciones de cualquier bolsa de valores en todo el mundo, independientemente de si el mercado de valores respectivo se encuentra o no dentro de cualquier </w:t>
      </w:r>
      <w:r w:rsidR="00AC48C4">
        <w:rPr>
          <w:rFonts w:ascii="Arial" w:hAnsi="Arial" w:cs="Arial"/>
          <w:sz w:val="24"/>
          <w:szCs w:val="24"/>
        </w:rPr>
        <w:t>Zona o Distrito Mundial Federal</w:t>
      </w:r>
      <w:r w:rsidRPr="00AC1580">
        <w:rPr>
          <w:rFonts w:ascii="Arial" w:hAnsi="Arial" w:cs="Arial"/>
          <w:sz w:val="24"/>
          <w:szCs w:val="24"/>
        </w:rPr>
        <w:t>, e independientemente de si la nación anfitriona de la bolsa de valores respectiva ha ratificado preliminar o finalmente la Constitución de la Tierra. Los registros de video, audio o digitales en las bolsas de valores no requieren ninguna orden, a menos que la grabación requiera ingresar a una oficina o ubicación sin invitación que normalmente no está abierta a los comerciantes y trabajadores generales de la bolsa de valores en particular. Además, con una orden judicial, se presume que los oficiales de la Federación de la Tierra pueden hacer grabaciones de audio, video o digitales abiertas o encubiertas.</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9. Idioma de la publicación</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La publicación legal se realizará al menos en el idioma de trabajo habitual del piso de la bolsa de valores en particular, así como en esperanto. La publicación puede incluir idiomas adicionales según lo determine el Sistema de cumplimiento. Los idiomas distintos del idioma de trabajo habitual pueden tener un tipo de tamaño reducido.</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10. Cooperación municipal o subsidiaria</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 xml:space="preserve">El Sistema de Aplicación puede buscar y recibir cooperación municipal u otra cooperación subsidiaria en las publicaciones y en la aplicación de las publicaciones. Sin embargo, buscar la cooperación municipal o subsidiaria no es un requisito. Los oficiales municipales u otros oficiales </w:t>
      </w:r>
      <w:proofErr w:type="spellStart"/>
      <w:r w:rsidRPr="00AC1580">
        <w:rPr>
          <w:rFonts w:ascii="Arial" w:hAnsi="Arial" w:cs="Arial"/>
          <w:sz w:val="24"/>
          <w:szCs w:val="24"/>
        </w:rPr>
        <w:t>subjurisdiccionales</w:t>
      </w:r>
      <w:proofErr w:type="spellEnd"/>
      <w:r w:rsidRPr="00AC1580">
        <w:rPr>
          <w:rFonts w:ascii="Arial" w:hAnsi="Arial" w:cs="Arial"/>
          <w:sz w:val="24"/>
          <w:szCs w:val="24"/>
        </w:rPr>
        <w:t xml:space="preserve"> se abstendrán de interferir en el trabajo de los ofic</w:t>
      </w:r>
      <w:r w:rsidR="00AC48C4">
        <w:rPr>
          <w:rFonts w:ascii="Arial" w:hAnsi="Arial" w:cs="Arial"/>
          <w:sz w:val="24"/>
          <w:szCs w:val="24"/>
        </w:rPr>
        <w:t>iales del Sistema de Aplicación</w:t>
      </w:r>
      <w:r w:rsidRPr="00AC1580">
        <w:rPr>
          <w:rFonts w:ascii="Arial" w:hAnsi="Arial" w:cs="Arial"/>
          <w:sz w:val="24"/>
          <w:szCs w:val="24"/>
        </w:rPr>
        <w:t xml:space="preserve"> (interferencia contra oficiales federales mundiales - delito grave de clase 3).</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11. Entrada en vigor</w:t>
      </w: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Como esta Ley simplemente especifica una acción de aplicación de la ley mundial que ya está en vigor, y dado que la implementación de esta Ley puede salvar millones o miles de millones de vidas, esta Ley entrará en vigencia inmediatamente después de su aprobación por el Parlamento Mundial provisional.</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 * * * * * * * * *</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t>La publicación de la Ley de Acciones de la Federación de la Tierra fue adoptada como Ley legislativa mundial n. ° 41 en la décima sesión del Parlamento Mundial provisional, reunida en Kara, Togo, África occidental, junio de 2007, convocada de conformidad con el Artículo 19 de la Constitución de la Tierra.</w:t>
      </w:r>
    </w:p>
    <w:p w:rsidR="00AC48C4" w:rsidRDefault="00AC48C4" w:rsidP="00AC1580">
      <w:pPr>
        <w:spacing w:after="0" w:line="240" w:lineRule="auto"/>
        <w:jc w:val="both"/>
        <w:rPr>
          <w:rFonts w:ascii="Arial" w:hAnsi="Arial" w:cs="Arial"/>
          <w:sz w:val="24"/>
          <w:szCs w:val="24"/>
        </w:rPr>
      </w:pPr>
    </w:p>
    <w:p w:rsidR="00AC1580" w:rsidRPr="00AC1580" w:rsidRDefault="00AC1580" w:rsidP="00AC1580">
      <w:pPr>
        <w:spacing w:after="0" w:line="240" w:lineRule="auto"/>
        <w:jc w:val="both"/>
        <w:rPr>
          <w:rFonts w:ascii="Arial" w:hAnsi="Arial" w:cs="Arial"/>
          <w:sz w:val="24"/>
          <w:szCs w:val="24"/>
        </w:rPr>
      </w:pPr>
      <w:r w:rsidRPr="00AC1580">
        <w:rPr>
          <w:rFonts w:ascii="Arial" w:hAnsi="Arial" w:cs="Arial"/>
          <w:sz w:val="24"/>
          <w:szCs w:val="24"/>
        </w:rPr>
        <w:lastRenderedPageBreak/>
        <w:t>Atestiguado: Eugenia Almand, Secretaria</w:t>
      </w:r>
    </w:p>
    <w:p w:rsidR="00AC1580" w:rsidRPr="00AC1580" w:rsidRDefault="00AC1580" w:rsidP="00AC1580">
      <w:pPr>
        <w:spacing w:after="0" w:line="240" w:lineRule="auto"/>
        <w:jc w:val="both"/>
        <w:rPr>
          <w:rFonts w:ascii="Arial" w:hAnsi="Arial" w:cs="Arial"/>
          <w:sz w:val="24"/>
          <w:szCs w:val="24"/>
        </w:rPr>
      </w:pPr>
      <w:bookmarkStart w:id="0" w:name="_GoBack"/>
      <w:bookmarkEnd w:id="0"/>
      <w:r w:rsidRPr="00AC1580">
        <w:rPr>
          <w:rFonts w:ascii="Arial" w:hAnsi="Arial" w:cs="Arial"/>
          <w:sz w:val="24"/>
          <w:szCs w:val="24"/>
        </w:rPr>
        <w:t>Parlamento Mundial Provisional</w:t>
      </w:r>
    </w:p>
    <w:sectPr w:rsidR="00AC1580" w:rsidRPr="00AC15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80"/>
    <w:rsid w:val="00786147"/>
    <w:rsid w:val="00AC1580"/>
    <w:rsid w:val="00AC48C4"/>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91115-A609-442A-AEA1-E5D03A61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1768</Words>
  <Characters>9764</Characters>
  <Application>Microsoft Office Word</Application>
  <DocSecurity>0</DocSecurity>
  <Lines>177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2019-12-01T11:59:00Z</dcterms:created>
  <dcterms:modified xsi:type="dcterms:W3CDTF">2019-12-01T12:07:00Z</dcterms:modified>
</cp:coreProperties>
</file>