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64C" w:rsidRPr="005F064C" w:rsidRDefault="005F064C" w:rsidP="005F064C">
      <w:pPr>
        <w:spacing w:after="0" w:line="240" w:lineRule="auto"/>
        <w:jc w:val="both"/>
        <w:rPr>
          <w:rFonts w:ascii="Arial" w:hAnsi="Arial" w:cs="Arial"/>
          <w:b/>
          <w:sz w:val="24"/>
          <w:szCs w:val="24"/>
        </w:rPr>
      </w:pPr>
      <w:r w:rsidRPr="005F064C">
        <w:rPr>
          <w:rFonts w:ascii="Arial" w:hAnsi="Arial" w:cs="Arial"/>
          <w:b/>
          <w:sz w:val="24"/>
          <w:szCs w:val="24"/>
        </w:rPr>
        <w:t xml:space="preserve">Acta Legislativa Mundial #48 </w:t>
      </w:r>
      <w:r w:rsidRPr="005F064C">
        <w:rPr>
          <w:rFonts w:ascii="Arial" w:hAnsi="Arial" w:cs="Arial"/>
          <w:b/>
          <w:sz w:val="24"/>
          <w:szCs w:val="24"/>
        </w:rPr>
        <w:t>Colegio de Jueces Mundiales</w:t>
      </w:r>
    </w:p>
    <w:p w:rsidR="005F064C" w:rsidRDefault="005F064C" w:rsidP="005F064C">
      <w:pPr>
        <w:spacing w:after="0" w:line="240" w:lineRule="auto"/>
        <w:jc w:val="both"/>
        <w:rPr>
          <w:rFonts w:ascii="Arial" w:hAnsi="Arial" w:cs="Arial"/>
          <w:sz w:val="24"/>
          <w:szCs w:val="24"/>
        </w:rPr>
      </w:pPr>
    </w:p>
    <w:p w:rsidR="005B56FD" w:rsidRDefault="005B56FD" w:rsidP="005F064C">
      <w:pPr>
        <w:spacing w:after="0" w:line="240" w:lineRule="auto"/>
        <w:jc w:val="both"/>
        <w:rPr>
          <w:rFonts w:ascii="Arial" w:hAnsi="Arial" w:cs="Arial"/>
          <w:sz w:val="24"/>
          <w:szCs w:val="24"/>
        </w:rPr>
      </w:pPr>
      <w:r>
        <w:rPr>
          <w:rFonts w:ascii="Arial" w:hAnsi="Arial" w:cs="Arial"/>
          <w:sz w:val="24"/>
          <w:szCs w:val="24"/>
        </w:rPr>
        <w:t xml:space="preserve">(Resumen: Se </w:t>
      </w:r>
      <w:r w:rsidRPr="005F064C">
        <w:rPr>
          <w:rFonts w:ascii="Arial" w:hAnsi="Arial" w:cs="Arial"/>
          <w:sz w:val="24"/>
          <w:szCs w:val="24"/>
        </w:rPr>
        <w:t>activa</w:t>
      </w:r>
      <w:r>
        <w:rPr>
          <w:rFonts w:ascii="Arial" w:hAnsi="Arial" w:cs="Arial"/>
          <w:sz w:val="24"/>
          <w:szCs w:val="24"/>
        </w:rPr>
        <w:t xml:space="preserve"> </w:t>
      </w:r>
      <w:r w:rsidRPr="005F064C">
        <w:rPr>
          <w:rFonts w:ascii="Arial" w:hAnsi="Arial" w:cs="Arial"/>
          <w:sz w:val="24"/>
          <w:szCs w:val="24"/>
        </w:rPr>
        <w:t>un Colegio de Jueces Mundiales como un</w:t>
      </w:r>
      <w:r>
        <w:rPr>
          <w:rFonts w:ascii="Arial" w:hAnsi="Arial" w:cs="Arial"/>
          <w:sz w:val="24"/>
          <w:szCs w:val="24"/>
        </w:rPr>
        <w:t xml:space="preserve"> </w:t>
      </w:r>
      <w:r w:rsidRPr="005F064C">
        <w:rPr>
          <w:rFonts w:ascii="Arial" w:hAnsi="Arial" w:cs="Arial"/>
          <w:sz w:val="24"/>
          <w:szCs w:val="24"/>
        </w:rPr>
        <w:t>componente del gobierno mundial provisional</w:t>
      </w:r>
      <w:r>
        <w:rPr>
          <w:rFonts w:ascii="Arial" w:hAnsi="Arial" w:cs="Arial"/>
          <w:sz w:val="24"/>
          <w:szCs w:val="24"/>
        </w:rPr>
        <w:t xml:space="preserve">, con </w:t>
      </w:r>
      <w:r w:rsidRPr="005F064C">
        <w:rPr>
          <w:rFonts w:ascii="Arial" w:hAnsi="Arial" w:cs="Arial"/>
          <w:sz w:val="24"/>
          <w:szCs w:val="24"/>
        </w:rPr>
        <w:t>el poder de cooperar con el Parlamento Mundial Provisional para iniciar y contratar a la Corte Suprema Mundial para que funcione como parte del Gobierno Mundial Provisional hasta el momento en que la Constitución para la Federación de la Tierra haya sido ratificada</w:t>
      </w:r>
      <w:r>
        <w:rPr>
          <w:rFonts w:ascii="Arial" w:hAnsi="Arial" w:cs="Arial"/>
          <w:sz w:val="24"/>
          <w:szCs w:val="24"/>
        </w:rPr>
        <w:t>.)</w:t>
      </w:r>
    </w:p>
    <w:p w:rsidR="005B56FD" w:rsidRDefault="005B56FD" w:rsidP="005F064C">
      <w:pPr>
        <w:spacing w:after="0" w:line="240" w:lineRule="auto"/>
        <w:jc w:val="both"/>
        <w:rPr>
          <w:rFonts w:ascii="Arial" w:hAnsi="Arial" w:cs="Arial"/>
          <w:sz w:val="24"/>
          <w:szCs w:val="24"/>
        </w:rPr>
      </w:pPr>
    </w:p>
    <w:p w:rsidR="005F064C" w:rsidRPr="005F064C" w:rsidRDefault="005F064C" w:rsidP="005F064C">
      <w:pPr>
        <w:spacing w:after="0" w:line="240" w:lineRule="auto"/>
        <w:jc w:val="both"/>
        <w:rPr>
          <w:rFonts w:ascii="Arial" w:hAnsi="Arial" w:cs="Arial"/>
          <w:sz w:val="24"/>
          <w:szCs w:val="24"/>
        </w:rPr>
      </w:pPr>
      <w:r w:rsidRPr="005F064C">
        <w:rPr>
          <w:rFonts w:ascii="Arial" w:hAnsi="Arial" w:cs="Arial"/>
          <w:sz w:val="24"/>
          <w:szCs w:val="24"/>
        </w:rPr>
        <w:t>Parlamento Mundial Provisional</w:t>
      </w:r>
    </w:p>
    <w:p w:rsidR="005F064C" w:rsidRPr="005F064C" w:rsidRDefault="005F064C" w:rsidP="005F064C">
      <w:pPr>
        <w:spacing w:after="0" w:line="240" w:lineRule="auto"/>
        <w:jc w:val="both"/>
        <w:rPr>
          <w:rFonts w:ascii="Arial" w:hAnsi="Arial" w:cs="Arial"/>
          <w:sz w:val="24"/>
          <w:szCs w:val="24"/>
        </w:rPr>
      </w:pPr>
      <w:r w:rsidRPr="005F064C">
        <w:rPr>
          <w:rFonts w:ascii="Arial" w:hAnsi="Arial" w:cs="Arial"/>
          <w:sz w:val="24"/>
          <w:szCs w:val="24"/>
        </w:rPr>
        <w:t>27 al 31 de diciembre de 2010, Auditorio Rabindranath Tagore, Academia Bangla, y Sri Aurobindo Bhavan, Calcuta, Bengala Occidental, India</w:t>
      </w:r>
    </w:p>
    <w:p w:rsidR="005F064C" w:rsidRDefault="005F064C" w:rsidP="005F064C">
      <w:pPr>
        <w:spacing w:after="0" w:line="240" w:lineRule="auto"/>
        <w:jc w:val="both"/>
        <w:rPr>
          <w:rFonts w:ascii="Arial" w:hAnsi="Arial" w:cs="Arial"/>
          <w:sz w:val="24"/>
          <w:szCs w:val="24"/>
        </w:rPr>
      </w:pPr>
    </w:p>
    <w:p w:rsidR="005F064C" w:rsidRPr="005F064C" w:rsidRDefault="005F064C" w:rsidP="005F064C">
      <w:pPr>
        <w:spacing w:after="0" w:line="240" w:lineRule="auto"/>
        <w:jc w:val="both"/>
        <w:rPr>
          <w:rFonts w:ascii="Arial" w:hAnsi="Arial" w:cs="Arial"/>
          <w:b/>
          <w:sz w:val="24"/>
          <w:szCs w:val="24"/>
        </w:rPr>
      </w:pPr>
      <w:r w:rsidRPr="005F064C">
        <w:rPr>
          <w:rFonts w:ascii="Arial" w:hAnsi="Arial" w:cs="Arial"/>
          <w:b/>
          <w:sz w:val="24"/>
          <w:szCs w:val="24"/>
        </w:rPr>
        <w:t>Ley Legislativa Mundial # 48</w:t>
      </w:r>
    </w:p>
    <w:p w:rsidR="005F064C" w:rsidRPr="005F064C" w:rsidRDefault="005F064C" w:rsidP="005F064C">
      <w:pPr>
        <w:spacing w:after="0" w:line="240" w:lineRule="auto"/>
        <w:jc w:val="both"/>
        <w:rPr>
          <w:rFonts w:ascii="Arial" w:hAnsi="Arial" w:cs="Arial"/>
          <w:sz w:val="24"/>
          <w:szCs w:val="24"/>
        </w:rPr>
      </w:pPr>
      <w:r w:rsidRPr="005F064C">
        <w:rPr>
          <w:rFonts w:ascii="Arial" w:hAnsi="Arial" w:cs="Arial"/>
          <w:sz w:val="24"/>
          <w:szCs w:val="24"/>
        </w:rPr>
        <w:t>El Colegio de Jueces Mundiales</w:t>
      </w:r>
    </w:p>
    <w:p w:rsidR="005F064C" w:rsidRDefault="005F064C" w:rsidP="005F064C">
      <w:pPr>
        <w:spacing w:after="0" w:line="240" w:lineRule="auto"/>
        <w:jc w:val="both"/>
        <w:rPr>
          <w:rFonts w:ascii="Arial" w:hAnsi="Arial" w:cs="Arial"/>
          <w:sz w:val="24"/>
          <w:szCs w:val="24"/>
        </w:rPr>
      </w:pPr>
    </w:p>
    <w:p w:rsidR="005F064C" w:rsidRDefault="005F064C" w:rsidP="005F064C">
      <w:pPr>
        <w:spacing w:after="0" w:line="240" w:lineRule="auto"/>
        <w:jc w:val="both"/>
        <w:rPr>
          <w:rFonts w:ascii="Arial" w:hAnsi="Arial" w:cs="Arial"/>
          <w:sz w:val="24"/>
          <w:szCs w:val="24"/>
        </w:rPr>
      </w:pPr>
      <w:r w:rsidRPr="005F064C">
        <w:rPr>
          <w:rFonts w:ascii="Arial" w:hAnsi="Arial" w:cs="Arial"/>
          <w:sz w:val="24"/>
          <w:szCs w:val="24"/>
        </w:rPr>
        <w:t>Considerando que el planeta Tierra carece de la regla efectiva de la ley aplicable democráticamente legislada, y</w:t>
      </w:r>
    </w:p>
    <w:p w:rsidR="005B56FD" w:rsidRPr="005F064C" w:rsidRDefault="005B56FD" w:rsidP="005F064C">
      <w:pPr>
        <w:spacing w:after="0" w:line="240" w:lineRule="auto"/>
        <w:jc w:val="both"/>
        <w:rPr>
          <w:rFonts w:ascii="Arial" w:hAnsi="Arial" w:cs="Arial"/>
          <w:sz w:val="24"/>
          <w:szCs w:val="24"/>
        </w:rPr>
      </w:pPr>
    </w:p>
    <w:p w:rsidR="005F064C" w:rsidRPr="005F064C" w:rsidRDefault="005F064C" w:rsidP="005F064C">
      <w:pPr>
        <w:spacing w:after="0" w:line="240" w:lineRule="auto"/>
        <w:jc w:val="both"/>
        <w:rPr>
          <w:rFonts w:ascii="Arial" w:hAnsi="Arial" w:cs="Arial"/>
          <w:sz w:val="24"/>
          <w:szCs w:val="24"/>
        </w:rPr>
      </w:pPr>
      <w:r w:rsidRPr="005F064C">
        <w:rPr>
          <w:rFonts w:ascii="Arial" w:hAnsi="Arial" w:cs="Arial"/>
          <w:sz w:val="24"/>
          <w:szCs w:val="24"/>
        </w:rPr>
        <w:t>Considerando que un sistema judicial coherente, efectivo y organizado es esencial para el estado de derecho, y</w:t>
      </w:r>
    </w:p>
    <w:p w:rsidR="005B56FD" w:rsidRDefault="005B56FD" w:rsidP="005F064C">
      <w:pPr>
        <w:spacing w:after="0" w:line="240" w:lineRule="auto"/>
        <w:jc w:val="both"/>
        <w:rPr>
          <w:rFonts w:ascii="Arial" w:hAnsi="Arial" w:cs="Arial"/>
          <w:sz w:val="24"/>
          <w:szCs w:val="24"/>
        </w:rPr>
      </w:pPr>
    </w:p>
    <w:p w:rsidR="005F064C" w:rsidRPr="005F064C" w:rsidRDefault="005F064C" w:rsidP="005F064C">
      <w:pPr>
        <w:spacing w:after="0" w:line="240" w:lineRule="auto"/>
        <w:jc w:val="both"/>
        <w:rPr>
          <w:rFonts w:ascii="Arial" w:hAnsi="Arial" w:cs="Arial"/>
          <w:sz w:val="24"/>
          <w:szCs w:val="24"/>
        </w:rPr>
      </w:pPr>
      <w:r w:rsidRPr="005F064C">
        <w:rPr>
          <w:rFonts w:ascii="Arial" w:hAnsi="Arial" w:cs="Arial"/>
          <w:sz w:val="24"/>
          <w:szCs w:val="24"/>
        </w:rPr>
        <w:t>Mientras que los tribunales actuales del sistema de las Naciones Unidas carecen de las características esenciales de los tribunales efectivos, como el poder del mandamus (el poder de ordenar arrestos, citar testigos o imponer testimonios), y</w:t>
      </w:r>
    </w:p>
    <w:p w:rsidR="005B56FD" w:rsidRDefault="005B56FD" w:rsidP="005F064C">
      <w:pPr>
        <w:spacing w:after="0" w:line="240" w:lineRule="auto"/>
        <w:jc w:val="both"/>
        <w:rPr>
          <w:rFonts w:ascii="Arial" w:hAnsi="Arial" w:cs="Arial"/>
          <w:sz w:val="24"/>
          <w:szCs w:val="24"/>
        </w:rPr>
      </w:pPr>
    </w:p>
    <w:p w:rsidR="005F064C" w:rsidRPr="005F064C" w:rsidRDefault="005F064C" w:rsidP="005F064C">
      <w:pPr>
        <w:spacing w:after="0" w:line="240" w:lineRule="auto"/>
        <w:jc w:val="both"/>
        <w:rPr>
          <w:rFonts w:ascii="Arial" w:hAnsi="Arial" w:cs="Arial"/>
          <w:sz w:val="24"/>
          <w:szCs w:val="24"/>
        </w:rPr>
      </w:pPr>
      <w:r w:rsidRPr="005F064C">
        <w:rPr>
          <w:rFonts w:ascii="Arial" w:hAnsi="Arial" w:cs="Arial"/>
          <w:sz w:val="24"/>
          <w:szCs w:val="24"/>
        </w:rPr>
        <w:t>Mientras que la gente de la Tierra está facultada, de conformidad con el Artículo 19 de la Constitución de la Federación de la Tierra, para crear un gobierno mundial provisional en sus múltiples aspectos, como el parlamento mundial, la aplicación de la ley mundial y los tribunales mundiales, y</w:t>
      </w:r>
    </w:p>
    <w:p w:rsidR="005B56FD" w:rsidRDefault="005B56FD" w:rsidP="005F064C">
      <w:pPr>
        <w:spacing w:after="0" w:line="240" w:lineRule="auto"/>
        <w:jc w:val="both"/>
        <w:rPr>
          <w:rFonts w:ascii="Arial" w:hAnsi="Arial" w:cs="Arial"/>
          <w:sz w:val="24"/>
          <w:szCs w:val="24"/>
        </w:rPr>
      </w:pPr>
    </w:p>
    <w:p w:rsidR="005F064C" w:rsidRPr="005F064C" w:rsidRDefault="005F064C" w:rsidP="005F064C">
      <w:pPr>
        <w:spacing w:after="0" w:line="240" w:lineRule="auto"/>
        <w:jc w:val="both"/>
        <w:rPr>
          <w:rFonts w:ascii="Arial" w:hAnsi="Arial" w:cs="Arial"/>
          <w:sz w:val="24"/>
          <w:szCs w:val="24"/>
        </w:rPr>
      </w:pPr>
      <w:r w:rsidRPr="005F064C">
        <w:rPr>
          <w:rFonts w:ascii="Arial" w:hAnsi="Arial" w:cs="Arial"/>
          <w:sz w:val="24"/>
          <w:szCs w:val="24"/>
        </w:rPr>
        <w:t>Mientras que secciones de la Constitución de la Tierra relacionadas con el presente acto dicen lo siguiente:</w:t>
      </w:r>
    </w:p>
    <w:p w:rsidR="005F064C" w:rsidRPr="005F064C" w:rsidRDefault="005F064C" w:rsidP="005F064C">
      <w:pPr>
        <w:spacing w:after="0" w:line="240" w:lineRule="auto"/>
        <w:jc w:val="both"/>
        <w:rPr>
          <w:rFonts w:ascii="Arial" w:hAnsi="Arial" w:cs="Arial"/>
          <w:sz w:val="24"/>
          <w:szCs w:val="24"/>
        </w:rPr>
      </w:pPr>
      <w:r w:rsidRPr="005F064C">
        <w:rPr>
          <w:rFonts w:ascii="Arial" w:hAnsi="Arial" w:cs="Arial"/>
          <w:sz w:val="24"/>
          <w:szCs w:val="24"/>
        </w:rPr>
        <w:t>Artículo 19.6:</w:t>
      </w:r>
    </w:p>
    <w:p w:rsidR="005F064C" w:rsidRPr="005F064C" w:rsidRDefault="005F064C" w:rsidP="005F064C">
      <w:pPr>
        <w:spacing w:after="0" w:line="240" w:lineRule="auto"/>
        <w:jc w:val="both"/>
        <w:rPr>
          <w:rFonts w:ascii="Arial" w:hAnsi="Arial" w:cs="Arial"/>
          <w:sz w:val="24"/>
          <w:szCs w:val="24"/>
        </w:rPr>
      </w:pPr>
      <w:r w:rsidRPr="005F064C">
        <w:rPr>
          <w:rFonts w:ascii="Arial" w:hAnsi="Arial" w:cs="Arial"/>
          <w:sz w:val="24"/>
          <w:szCs w:val="24"/>
        </w:rPr>
        <w:t>El Parlamento Mundial y el Ejecutivo Mundial del Gobierno Mundial Provisional procederán con la organización de otros órganos y agencias del gobierno mundial de manera provisional, en la medida en que se considere deseable y factible, en particular los especificados en la Sección 3.10 del Artículo 17.</w:t>
      </w:r>
    </w:p>
    <w:p w:rsidR="005B56FD" w:rsidRDefault="005B56FD" w:rsidP="005F064C">
      <w:pPr>
        <w:spacing w:after="0" w:line="240" w:lineRule="auto"/>
        <w:jc w:val="both"/>
        <w:rPr>
          <w:rFonts w:ascii="Arial" w:hAnsi="Arial" w:cs="Arial"/>
          <w:sz w:val="24"/>
          <w:szCs w:val="24"/>
        </w:rPr>
      </w:pPr>
    </w:p>
    <w:p w:rsidR="005F064C" w:rsidRPr="005F064C" w:rsidRDefault="005F064C" w:rsidP="005F064C">
      <w:pPr>
        <w:spacing w:after="0" w:line="240" w:lineRule="auto"/>
        <w:jc w:val="both"/>
        <w:rPr>
          <w:rFonts w:ascii="Arial" w:hAnsi="Arial" w:cs="Arial"/>
          <w:sz w:val="24"/>
          <w:szCs w:val="24"/>
        </w:rPr>
      </w:pPr>
      <w:r w:rsidRPr="005F064C">
        <w:rPr>
          <w:rFonts w:ascii="Arial" w:hAnsi="Arial" w:cs="Arial"/>
          <w:sz w:val="24"/>
          <w:szCs w:val="24"/>
        </w:rPr>
        <w:t>La Sección 3.10 del Artículo 17 enumera el primero de estos órganos y agencias como "la Corte Suprema Mundial".</w:t>
      </w:r>
    </w:p>
    <w:p w:rsidR="005B56FD" w:rsidRDefault="005B56FD" w:rsidP="005F064C">
      <w:pPr>
        <w:spacing w:after="0" w:line="240" w:lineRule="auto"/>
        <w:jc w:val="both"/>
        <w:rPr>
          <w:rFonts w:ascii="Arial" w:hAnsi="Arial" w:cs="Arial"/>
          <w:sz w:val="24"/>
          <w:szCs w:val="24"/>
        </w:rPr>
      </w:pPr>
    </w:p>
    <w:p w:rsidR="005F064C" w:rsidRPr="005F064C" w:rsidRDefault="005F064C" w:rsidP="005F064C">
      <w:pPr>
        <w:spacing w:after="0" w:line="240" w:lineRule="auto"/>
        <w:jc w:val="both"/>
        <w:rPr>
          <w:rFonts w:ascii="Arial" w:hAnsi="Arial" w:cs="Arial"/>
          <w:sz w:val="24"/>
          <w:szCs w:val="24"/>
        </w:rPr>
      </w:pPr>
      <w:r w:rsidRPr="005F064C">
        <w:rPr>
          <w:rFonts w:ascii="Arial" w:hAnsi="Arial" w:cs="Arial"/>
          <w:sz w:val="24"/>
          <w:szCs w:val="24"/>
        </w:rPr>
        <w:t>El Artículo 9.4.1 establece que:</w:t>
      </w:r>
    </w:p>
    <w:p w:rsidR="005F064C" w:rsidRPr="005F064C" w:rsidRDefault="005F064C" w:rsidP="005F064C">
      <w:pPr>
        <w:spacing w:after="0" w:line="240" w:lineRule="auto"/>
        <w:jc w:val="both"/>
        <w:rPr>
          <w:rFonts w:ascii="Arial" w:hAnsi="Arial" w:cs="Arial"/>
          <w:sz w:val="24"/>
          <w:szCs w:val="24"/>
        </w:rPr>
      </w:pPr>
      <w:r w:rsidRPr="005F064C">
        <w:rPr>
          <w:rFonts w:ascii="Arial" w:hAnsi="Arial" w:cs="Arial"/>
          <w:sz w:val="24"/>
          <w:szCs w:val="24"/>
        </w:rPr>
        <w:t xml:space="preserve">El Parlamento Mundial establecerá un Colegio de Jueces Mundiales. El Colegio estará compuesto por un mínimo de veinte jueces miembros, y puede ampliarse según sea necesario, pero no excederá de sesenta miembros. El artículo continúa que “El Consejo Presidente de Jueces Mundiales asignará a todos los jueces </w:t>
      </w:r>
      <w:r w:rsidRPr="005F064C">
        <w:rPr>
          <w:rFonts w:ascii="Arial" w:hAnsi="Arial" w:cs="Arial"/>
          <w:sz w:val="24"/>
          <w:szCs w:val="24"/>
        </w:rPr>
        <w:lastRenderedPageBreak/>
        <w:t>mundiales, incluidos ellos mismos, a los diversos bancos de la Corte Suprema Mundial.</w:t>
      </w:r>
    </w:p>
    <w:p w:rsidR="005B56FD" w:rsidRDefault="005B56FD" w:rsidP="005F064C">
      <w:pPr>
        <w:spacing w:after="0" w:line="240" w:lineRule="auto"/>
        <w:jc w:val="both"/>
        <w:rPr>
          <w:rFonts w:ascii="Arial" w:hAnsi="Arial" w:cs="Arial"/>
          <w:sz w:val="24"/>
          <w:szCs w:val="24"/>
        </w:rPr>
      </w:pPr>
    </w:p>
    <w:p w:rsidR="005F064C" w:rsidRPr="005F064C" w:rsidRDefault="005F064C" w:rsidP="005F064C">
      <w:pPr>
        <w:spacing w:after="0" w:line="240" w:lineRule="auto"/>
        <w:jc w:val="both"/>
        <w:rPr>
          <w:rFonts w:ascii="Arial" w:hAnsi="Arial" w:cs="Arial"/>
          <w:sz w:val="24"/>
          <w:szCs w:val="24"/>
        </w:rPr>
      </w:pPr>
      <w:r w:rsidRPr="005F064C">
        <w:rPr>
          <w:rFonts w:ascii="Arial" w:hAnsi="Arial" w:cs="Arial"/>
          <w:sz w:val="24"/>
          <w:szCs w:val="24"/>
        </w:rPr>
        <w:t>Por lo tanto, los delegados que se sientan en la duodécima sesión del Parlamento Mundial Provisional activamos un Colegio de Jueces Mundiales como un</w:t>
      </w:r>
      <w:r w:rsidR="005B56FD">
        <w:rPr>
          <w:rFonts w:ascii="Arial" w:hAnsi="Arial" w:cs="Arial"/>
          <w:sz w:val="24"/>
          <w:szCs w:val="24"/>
        </w:rPr>
        <w:t xml:space="preserve"> </w:t>
      </w:r>
      <w:r w:rsidRPr="005F064C">
        <w:rPr>
          <w:rFonts w:ascii="Arial" w:hAnsi="Arial" w:cs="Arial"/>
          <w:sz w:val="24"/>
          <w:szCs w:val="24"/>
        </w:rPr>
        <w:t>componente del gobierno mundial provisional.</w:t>
      </w:r>
    </w:p>
    <w:p w:rsidR="005B56FD" w:rsidRDefault="005B56FD" w:rsidP="005F064C">
      <w:pPr>
        <w:spacing w:after="0" w:line="240" w:lineRule="auto"/>
        <w:jc w:val="both"/>
        <w:rPr>
          <w:rFonts w:ascii="Arial" w:hAnsi="Arial" w:cs="Arial"/>
          <w:sz w:val="24"/>
          <w:szCs w:val="24"/>
        </w:rPr>
      </w:pPr>
    </w:p>
    <w:p w:rsidR="005F064C" w:rsidRPr="005F064C" w:rsidRDefault="005F064C" w:rsidP="005F064C">
      <w:pPr>
        <w:spacing w:after="0" w:line="240" w:lineRule="auto"/>
        <w:jc w:val="both"/>
        <w:rPr>
          <w:rFonts w:ascii="Arial" w:hAnsi="Arial" w:cs="Arial"/>
          <w:sz w:val="24"/>
          <w:szCs w:val="24"/>
        </w:rPr>
      </w:pPr>
      <w:r w:rsidRPr="005F064C">
        <w:rPr>
          <w:rFonts w:ascii="Arial" w:hAnsi="Arial" w:cs="Arial"/>
          <w:sz w:val="24"/>
          <w:szCs w:val="24"/>
        </w:rPr>
        <w:t>1. Los jueces retirados de la corte suprema de todos los países pueden convertirse en miembros de un Colegio de Jueces Mundiales bajo la autoridad de la Constitución de la Tierra.</w:t>
      </w:r>
    </w:p>
    <w:p w:rsidR="005B56FD" w:rsidRDefault="005B56FD" w:rsidP="005F064C">
      <w:pPr>
        <w:spacing w:after="0" w:line="240" w:lineRule="auto"/>
        <w:jc w:val="both"/>
        <w:rPr>
          <w:rFonts w:ascii="Arial" w:hAnsi="Arial" w:cs="Arial"/>
          <w:sz w:val="24"/>
          <w:szCs w:val="24"/>
        </w:rPr>
      </w:pPr>
    </w:p>
    <w:p w:rsidR="005F064C" w:rsidRDefault="005F064C" w:rsidP="005F064C">
      <w:pPr>
        <w:spacing w:after="0" w:line="240" w:lineRule="auto"/>
        <w:jc w:val="both"/>
        <w:rPr>
          <w:rFonts w:ascii="Arial" w:hAnsi="Arial" w:cs="Arial"/>
          <w:sz w:val="24"/>
          <w:szCs w:val="24"/>
        </w:rPr>
      </w:pPr>
      <w:r w:rsidRPr="005F064C">
        <w:rPr>
          <w:rFonts w:ascii="Arial" w:hAnsi="Arial" w:cs="Arial"/>
          <w:sz w:val="24"/>
          <w:szCs w:val="24"/>
        </w:rPr>
        <w:t>1.1. El Colegio de Jueces Mundiales tiene el poder de cooperar con el Parlamento Mundial Provisional para iniciar y contratar a la Corte Suprema Mundial para que funcione como parte del Gobierno Mundial Provisional hasta el momento en que la Constitución para la Federación de la Tierra haya sido ratificada por el pueblo y las naciones de La Tierra y la composición final de la Corte Suprema Mundial tienen lugar.</w:t>
      </w:r>
    </w:p>
    <w:p w:rsidR="005B56FD" w:rsidRPr="005F064C" w:rsidRDefault="005B56FD" w:rsidP="005F064C">
      <w:pPr>
        <w:spacing w:after="0" w:line="240" w:lineRule="auto"/>
        <w:jc w:val="both"/>
        <w:rPr>
          <w:rFonts w:ascii="Arial" w:hAnsi="Arial" w:cs="Arial"/>
          <w:sz w:val="24"/>
          <w:szCs w:val="24"/>
        </w:rPr>
      </w:pPr>
    </w:p>
    <w:p w:rsidR="005F064C" w:rsidRPr="005F064C" w:rsidRDefault="005F064C" w:rsidP="005F064C">
      <w:pPr>
        <w:spacing w:after="0" w:line="240" w:lineRule="auto"/>
        <w:jc w:val="both"/>
        <w:rPr>
          <w:rFonts w:ascii="Arial" w:hAnsi="Arial" w:cs="Arial"/>
          <w:sz w:val="24"/>
          <w:szCs w:val="24"/>
        </w:rPr>
      </w:pPr>
      <w:r w:rsidRPr="005F064C">
        <w:rPr>
          <w:rFonts w:ascii="Arial" w:hAnsi="Arial" w:cs="Arial"/>
          <w:sz w:val="24"/>
          <w:szCs w:val="24"/>
        </w:rPr>
        <w:t>1.2. El Colegio de Jueces Mundiales y la Corte Suprema Mundial operarán de acuerdo con la Constitución de la Federación de la Tierra.</w:t>
      </w:r>
    </w:p>
    <w:p w:rsidR="005B56FD" w:rsidRDefault="005B56FD" w:rsidP="005F064C">
      <w:pPr>
        <w:spacing w:after="0" w:line="240" w:lineRule="auto"/>
        <w:jc w:val="both"/>
        <w:rPr>
          <w:rFonts w:ascii="Arial" w:hAnsi="Arial" w:cs="Arial"/>
          <w:sz w:val="24"/>
          <w:szCs w:val="24"/>
        </w:rPr>
      </w:pPr>
    </w:p>
    <w:p w:rsidR="005F064C" w:rsidRPr="005F064C" w:rsidRDefault="005F064C" w:rsidP="005F064C">
      <w:pPr>
        <w:spacing w:after="0" w:line="240" w:lineRule="auto"/>
        <w:jc w:val="both"/>
        <w:rPr>
          <w:rFonts w:ascii="Arial" w:hAnsi="Arial" w:cs="Arial"/>
          <w:sz w:val="24"/>
          <w:szCs w:val="24"/>
        </w:rPr>
      </w:pPr>
      <w:r w:rsidRPr="005F064C">
        <w:rPr>
          <w:rFonts w:ascii="Arial" w:hAnsi="Arial" w:cs="Arial"/>
          <w:sz w:val="24"/>
          <w:szCs w:val="24"/>
        </w:rPr>
        <w:t>2. Los jueces de la Corte Suprema que no estén retirados pueden formar parte de la Junta Asesora del Colegio de Jueces Mundiales. La Junta Consultiva se organizará de manera independiente y establecerá relaciones independientes que acuerden mutuamente el Colegio.</w:t>
      </w:r>
    </w:p>
    <w:p w:rsidR="005B56FD" w:rsidRDefault="005B56FD" w:rsidP="005F064C">
      <w:pPr>
        <w:spacing w:after="0" w:line="240" w:lineRule="auto"/>
        <w:jc w:val="both"/>
        <w:rPr>
          <w:rFonts w:ascii="Arial" w:hAnsi="Arial" w:cs="Arial"/>
          <w:sz w:val="24"/>
          <w:szCs w:val="24"/>
        </w:rPr>
      </w:pPr>
    </w:p>
    <w:p w:rsidR="005F064C" w:rsidRPr="005F064C" w:rsidRDefault="005F064C" w:rsidP="005F064C">
      <w:pPr>
        <w:spacing w:after="0" w:line="240" w:lineRule="auto"/>
        <w:jc w:val="both"/>
        <w:rPr>
          <w:rFonts w:ascii="Arial" w:hAnsi="Arial" w:cs="Arial"/>
          <w:sz w:val="24"/>
          <w:szCs w:val="24"/>
        </w:rPr>
      </w:pPr>
      <w:r w:rsidRPr="005F064C">
        <w:rPr>
          <w:rFonts w:ascii="Arial" w:hAnsi="Arial" w:cs="Arial"/>
          <w:sz w:val="24"/>
          <w:szCs w:val="24"/>
        </w:rPr>
        <w:t>3. El Colegio y la Junta Asesora depositarán las Actas de las reuniones y los registros de actividades de los organismos respectivos ante los Registradores designados a continuación:</w:t>
      </w:r>
    </w:p>
    <w:p w:rsidR="005F064C" w:rsidRPr="005F064C" w:rsidRDefault="005F064C" w:rsidP="005F064C">
      <w:pPr>
        <w:spacing w:after="0" w:line="240" w:lineRule="auto"/>
        <w:jc w:val="both"/>
        <w:rPr>
          <w:rFonts w:ascii="Arial" w:hAnsi="Arial" w:cs="Arial"/>
          <w:sz w:val="24"/>
          <w:szCs w:val="24"/>
        </w:rPr>
      </w:pPr>
      <w:r w:rsidRPr="005F064C">
        <w:rPr>
          <w:rFonts w:ascii="Arial" w:hAnsi="Arial" w:cs="Arial"/>
          <w:sz w:val="24"/>
          <w:szCs w:val="24"/>
        </w:rPr>
        <w:t>La Asociación Mundial de la Constitución y el Parlamento (organizador de sesiones del Parlamento Mundial Provisional), en cooperación con la Escuela Montessori de la Ciudad de Lucknow, India, (organizador de las Cumbres Judiciales Mundiales), actuará como Registradores conjuntos para el Colegio de Jueces Mundiales y para La Junta Asesora del Colegio de Jueces Mundiales.</w:t>
      </w:r>
    </w:p>
    <w:p w:rsidR="005B56FD" w:rsidRDefault="005B56FD" w:rsidP="005F064C">
      <w:pPr>
        <w:spacing w:after="0" w:line="240" w:lineRule="auto"/>
        <w:jc w:val="both"/>
        <w:rPr>
          <w:rFonts w:ascii="Arial" w:hAnsi="Arial" w:cs="Arial"/>
          <w:sz w:val="24"/>
          <w:szCs w:val="24"/>
        </w:rPr>
      </w:pPr>
    </w:p>
    <w:p w:rsidR="005F064C" w:rsidRPr="005F064C" w:rsidRDefault="005F064C" w:rsidP="005F064C">
      <w:pPr>
        <w:spacing w:after="0" w:line="240" w:lineRule="auto"/>
        <w:jc w:val="both"/>
        <w:rPr>
          <w:rFonts w:ascii="Arial" w:hAnsi="Arial" w:cs="Arial"/>
          <w:sz w:val="24"/>
          <w:szCs w:val="24"/>
        </w:rPr>
      </w:pPr>
      <w:r w:rsidRPr="005F064C">
        <w:rPr>
          <w:rFonts w:ascii="Arial" w:hAnsi="Arial" w:cs="Arial"/>
          <w:sz w:val="24"/>
          <w:szCs w:val="24"/>
        </w:rPr>
        <w:t>***</w:t>
      </w:r>
    </w:p>
    <w:p w:rsidR="005B56FD" w:rsidRDefault="005B56FD" w:rsidP="005F064C">
      <w:pPr>
        <w:spacing w:after="0" w:line="240" w:lineRule="auto"/>
        <w:jc w:val="both"/>
        <w:rPr>
          <w:rFonts w:ascii="Arial" w:hAnsi="Arial" w:cs="Arial"/>
          <w:sz w:val="24"/>
          <w:szCs w:val="24"/>
        </w:rPr>
      </w:pPr>
    </w:p>
    <w:p w:rsidR="005F064C" w:rsidRPr="005F064C" w:rsidRDefault="005F064C" w:rsidP="005F064C">
      <w:pPr>
        <w:spacing w:after="0" w:line="240" w:lineRule="auto"/>
        <w:jc w:val="both"/>
        <w:rPr>
          <w:rFonts w:ascii="Arial" w:hAnsi="Arial" w:cs="Arial"/>
          <w:sz w:val="24"/>
          <w:szCs w:val="24"/>
        </w:rPr>
      </w:pPr>
      <w:r w:rsidRPr="005F064C">
        <w:rPr>
          <w:rFonts w:ascii="Arial" w:hAnsi="Arial" w:cs="Arial"/>
          <w:sz w:val="24"/>
          <w:szCs w:val="24"/>
        </w:rPr>
        <w:t>Aquellos interesados ​​en servir como miembros del Colegio de Jueces Mundiales bajo la autoridad de la Constitución de la Tierra, deben comunicarse con el Sr. Sandeep Srivastava, Líder del Proyecto, Conferencias Internacionales de Jueces Mayores del Mundo en CMS, Lucknow, artículo 51 ~ cmseducation.org ( donde ~ representa "@" para evitar el spam automático) o móvil: 91-9235394975) o el Dr. Glen T. Martin, Secretario General, WCPA en gmartin ~ radford.edu, (donde ~ representa "@" para evitar el spam automático )</w:t>
      </w:r>
    </w:p>
    <w:p w:rsidR="005B56FD" w:rsidRDefault="005B56FD" w:rsidP="005F064C">
      <w:pPr>
        <w:spacing w:after="0" w:line="240" w:lineRule="auto"/>
        <w:jc w:val="both"/>
        <w:rPr>
          <w:rFonts w:ascii="Arial" w:hAnsi="Arial" w:cs="Arial"/>
          <w:sz w:val="24"/>
          <w:szCs w:val="24"/>
        </w:rPr>
      </w:pPr>
    </w:p>
    <w:p w:rsidR="005F064C" w:rsidRPr="005F064C" w:rsidRDefault="005F064C" w:rsidP="005F064C">
      <w:pPr>
        <w:spacing w:after="0" w:line="240" w:lineRule="auto"/>
        <w:jc w:val="both"/>
        <w:rPr>
          <w:rFonts w:ascii="Arial" w:hAnsi="Arial" w:cs="Arial"/>
          <w:sz w:val="24"/>
          <w:szCs w:val="24"/>
        </w:rPr>
      </w:pPr>
      <w:r w:rsidRPr="005F064C">
        <w:rPr>
          <w:rFonts w:ascii="Arial" w:hAnsi="Arial" w:cs="Arial"/>
          <w:sz w:val="24"/>
          <w:szCs w:val="24"/>
        </w:rPr>
        <w:t>Adoptado a las 4:10 p.m., 27 de diciembre de 2010, por la 12ª Sesión del Parlamento Mundial Provisional.</w:t>
      </w:r>
    </w:p>
    <w:p w:rsidR="005B56FD" w:rsidRDefault="005B56FD" w:rsidP="005F064C">
      <w:pPr>
        <w:spacing w:after="0" w:line="240" w:lineRule="auto"/>
        <w:jc w:val="both"/>
        <w:rPr>
          <w:rFonts w:ascii="Arial" w:hAnsi="Arial" w:cs="Arial"/>
          <w:sz w:val="24"/>
          <w:szCs w:val="24"/>
        </w:rPr>
      </w:pPr>
    </w:p>
    <w:p w:rsidR="005F064C" w:rsidRPr="005F064C" w:rsidRDefault="005F064C" w:rsidP="005F064C">
      <w:pPr>
        <w:spacing w:after="0" w:line="240" w:lineRule="auto"/>
        <w:jc w:val="both"/>
        <w:rPr>
          <w:rFonts w:ascii="Arial" w:hAnsi="Arial" w:cs="Arial"/>
          <w:sz w:val="24"/>
          <w:szCs w:val="24"/>
        </w:rPr>
      </w:pPr>
      <w:r w:rsidRPr="005F064C">
        <w:rPr>
          <w:rFonts w:ascii="Arial" w:hAnsi="Arial" w:cs="Arial"/>
          <w:sz w:val="24"/>
          <w:szCs w:val="24"/>
        </w:rPr>
        <w:t>Atestiguado</w:t>
      </w:r>
    </w:p>
    <w:p w:rsidR="005F064C" w:rsidRPr="005F064C" w:rsidRDefault="005F064C" w:rsidP="005F064C">
      <w:pPr>
        <w:spacing w:after="0" w:line="240" w:lineRule="auto"/>
        <w:jc w:val="both"/>
        <w:rPr>
          <w:rFonts w:ascii="Arial" w:hAnsi="Arial" w:cs="Arial"/>
          <w:sz w:val="24"/>
          <w:szCs w:val="24"/>
        </w:rPr>
      </w:pPr>
      <w:r w:rsidRPr="005F064C">
        <w:rPr>
          <w:rFonts w:ascii="Arial" w:hAnsi="Arial" w:cs="Arial"/>
          <w:sz w:val="24"/>
          <w:szCs w:val="24"/>
        </w:rPr>
        <w:t>Eugenia Almand, Secretaria del Parlamento</w:t>
      </w:r>
    </w:p>
    <w:p w:rsidR="005B56FD" w:rsidRDefault="005B56FD" w:rsidP="005F064C">
      <w:pPr>
        <w:spacing w:after="0" w:line="240" w:lineRule="auto"/>
        <w:jc w:val="both"/>
        <w:rPr>
          <w:rFonts w:ascii="Arial" w:hAnsi="Arial" w:cs="Arial"/>
          <w:sz w:val="24"/>
          <w:szCs w:val="24"/>
        </w:rPr>
      </w:pPr>
    </w:p>
    <w:p w:rsidR="008128A5" w:rsidRPr="005F064C" w:rsidRDefault="005B56FD" w:rsidP="005F064C">
      <w:pPr>
        <w:spacing w:after="0" w:line="240" w:lineRule="auto"/>
        <w:jc w:val="both"/>
        <w:rPr>
          <w:rFonts w:ascii="Arial" w:hAnsi="Arial" w:cs="Arial"/>
          <w:sz w:val="24"/>
          <w:szCs w:val="24"/>
        </w:rPr>
      </w:pPr>
      <w:r>
        <w:rPr>
          <w:rFonts w:ascii="Arial" w:hAnsi="Arial" w:cs="Arial"/>
          <w:sz w:val="24"/>
          <w:szCs w:val="24"/>
        </w:rPr>
        <w:t>F</w:t>
      </w:r>
      <w:bookmarkStart w:id="0" w:name="_GoBack"/>
      <w:bookmarkEnd w:id="0"/>
      <w:r w:rsidR="005F064C" w:rsidRPr="005F064C">
        <w:rPr>
          <w:rFonts w:ascii="Arial" w:hAnsi="Arial" w:cs="Arial"/>
          <w:sz w:val="24"/>
          <w:szCs w:val="24"/>
        </w:rPr>
        <w:t>ax: 1-540-831-5919</w:t>
      </w:r>
    </w:p>
    <w:sectPr w:rsidR="008128A5" w:rsidRPr="005F064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446" w:rsidRDefault="009A3446" w:rsidP="005F064C">
      <w:pPr>
        <w:spacing w:after="0" w:line="240" w:lineRule="auto"/>
      </w:pPr>
      <w:r>
        <w:separator/>
      </w:r>
    </w:p>
  </w:endnote>
  <w:endnote w:type="continuationSeparator" w:id="0">
    <w:p w:rsidR="009A3446" w:rsidRDefault="009A3446" w:rsidP="005F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446" w:rsidRDefault="009A3446" w:rsidP="005F064C">
      <w:pPr>
        <w:spacing w:after="0" w:line="240" w:lineRule="auto"/>
      </w:pPr>
      <w:r>
        <w:separator/>
      </w:r>
    </w:p>
  </w:footnote>
  <w:footnote w:type="continuationSeparator" w:id="0">
    <w:p w:rsidR="009A3446" w:rsidRDefault="009A3446" w:rsidP="005F06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4C"/>
    <w:rsid w:val="005B56FD"/>
    <w:rsid w:val="005F064C"/>
    <w:rsid w:val="00786147"/>
    <w:rsid w:val="009A3446"/>
    <w:rsid w:val="00B734C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99063-4B15-4954-8C3E-4E50C37B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06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064C"/>
  </w:style>
  <w:style w:type="paragraph" w:styleId="Piedepgina">
    <w:name w:val="footer"/>
    <w:basedOn w:val="Normal"/>
    <w:link w:val="PiedepginaCar"/>
    <w:uiPriority w:val="99"/>
    <w:unhideWhenUsed/>
    <w:rsid w:val="005F06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064C"/>
  </w:style>
  <w:style w:type="paragraph" w:styleId="Prrafodelista">
    <w:name w:val="List Paragraph"/>
    <w:basedOn w:val="Normal"/>
    <w:uiPriority w:val="34"/>
    <w:qFormat/>
    <w:rsid w:val="005B5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748</Words>
  <Characters>4107</Characters>
  <Application>Microsoft Office Word</Application>
  <DocSecurity>0</DocSecurity>
  <Lines>83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2019-12-02T11:50:00Z</dcterms:created>
  <dcterms:modified xsi:type="dcterms:W3CDTF">2019-12-02T11:56:00Z</dcterms:modified>
</cp:coreProperties>
</file>