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70E" w:rsidRPr="0075370E" w:rsidRDefault="0075370E" w:rsidP="0075370E">
      <w:pPr>
        <w:spacing w:after="0" w:line="240" w:lineRule="auto"/>
        <w:jc w:val="both"/>
        <w:rPr>
          <w:rFonts w:ascii="Arial" w:hAnsi="Arial" w:cs="Arial"/>
          <w:b/>
          <w:sz w:val="24"/>
          <w:szCs w:val="24"/>
        </w:rPr>
      </w:pPr>
      <w:r w:rsidRPr="0075370E">
        <w:rPr>
          <w:rFonts w:ascii="Arial" w:hAnsi="Arial" w:cs="Arial"/>
          <w:b/>
          <w:sz w:val="24"/>
          <w:szCs w:val="24"/>
        </w:rPr>
        <w:t xml:space="preserve">Acta Legislativa Mundial #62 </w:t>
      </w:r>
      <w:r w:rsidRPr="0075370E">
        <w:rPr>
          <w:rFonts w:ascii="Arial" w:hAnsi="Arial" w:cs="Arial"/>
          <w:b/>
          <w:sz w:val="24"/>
          <w:szCs w:val="24"/>
        </w:rPr>
        <w:t>Cierre nuclear</w:t>
      </w:r>
    </w:p>
    <w:p w:rsidR="0075370E" w:rsidRDefault="0075370E"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sz w:val="24"/>
          <w:szCs w:val="24"/>
        </w:rPr>
      </w:pPr>
      <w:r>
        <w:rPr>
          <w:rFonts w:ascii="Arial" w:hAnsi="Arial" w:cs="Arial"/>
          <w:sz w:val="24"/>
          <w:szCs w:val="24"/>
        </w:rPr>
        <w:t xml:space="preserve">(Resumen: </w:t>
      </w:r>
      <w:r w:rsidR="00D54774">
        <w:rPr>
          <w:rFonts w:ascii="Arial" w:hAnsi="Arial" w:cs="Arial"/>
          <w:sz w:val="24"/>
          <w:szCs w:val="24"/>
        </w:rPr>
        <w:t xml:space="preserve">Se </w:t>
      </w:r>
      <w:r w:rsidR="00D54774" w:rsidRPr="0075370E">
        <w:rPr>
          <w:rFonts w:ascii="Arial" w:hAnsi="Arial" w:cs="Arial"/>
          <w:sz w:val="24"/>
          <w:szCs w:val="24"/>
        </w:rPr>
        <w:t>inicia y dirige el cierre y el desmantelamiento in situ de todas las plantas de fisión nuclear</w:t>
      </w:r>
      <w:r w:rsidR="00D54774">
        <w:rPr>
          <w:rFonts w:ascii="Arial" w:hAnsi="Arial" w:cs="Arial"/>
          <w:sz w:val="24"/>
          <w:szCs w:val="24"/>
        </w:rPr>
        <w:t>.</w:t>
      </w:r>
      <w:r w:rsidR="00D84BE5">
        <w:rPr>
          <w:rFonts w:ascii="Arial" w:hAnsi="Arial" w:cs="Arial"/>
          <w:sz w:val="24"/>
          <w:szCs w:val="24"/>
        </w:rPr>
        <w:t xml:space="preserve"> </w:t>
      </w:r>
      <w:r w:rsidR="00D84BE5" w:rsidRPr="0075370E">
        <w:rPr>
          <w:rFonts w:ascii="Arial" w:hAnsi="Arial" w:cs="Arial"/>
          <w:sz w:val="24"/>
          <w:szCs w:val="24"/>
        </w:rPr>
        <w:t xml:space="preserve">El Parlamento Mundial desalienta la práctica industrial de cobrar por la corriente. </w:t>
      </w:r>
      <w:r w:rsidR="00D84BE5">
        <w:rPr>
          <w:rFonts w:ascii="Arial" w:hAnsi="Arial" w:cs="Arial"/>
          <w:sz w:val="24"/>
          <w:szCs w:val="24"/>
        </w:rPr>
        <w:t>La Sala</w:t>
      </w:r>
      <w:r w:rsidR="00D84BE5" w:rsidRPr="0075370E">
        <w:rPr>
          <w:rFonts w:ascii="Arial" w:hAnsi="Arial" w:cs="Arial"/>
          <w:sz w:val="24"/>
          <w:szCs w:val="24"/>
        </w:rPr>
        <w:t xml:space="preserve"> Mundial para Casos Civiles y </w:t>
      </w:r>
      <w:r w:rsidR="00D84BE5">
        <w:rPr>
          <w:rFonts w:ascii="Arial" w:hAnsi="Arial" w:cs="Arial"/>
          <w:sz w:val="24"/>
          <w:szCs w:val="24"/>
        </w:rPr>
        <w:t>la Sala</w:t>
      </w:r>
      <w:r w:rsidR="00D84BE5" w:rsidRPr="0075370E">
        <w:rPr>
          <w:rFonts w:ascii="Arial" w:hAnsi="Arial" w:cs="Arial"/>
          <w:sz w:val="24"/>
          <w:szCs w:val="24"/>
        </w:rPr>
        <w:t xml:space="preserve"> Mundial para Casos Públicos juzgarán a favor de sistemas de energía eficientes que generen poco o ningún calor residual.</w:t>
      </w:r>
      <w:r w:rsidR="00D84BE5">
        <w:rPr>
          <w:rFonts w:ascii="Arial" w:hAnsi="Arial" w:cs="Arial"/>
          <w:sz w:val="24"/>
          <w:szCs w:val="24"/>
        </w:rPr>
        <w:t xml:space="preserve"> </w:t>
      </w:r>
      <w:r w:rsidR="00D84BE5" w:rsidRPr="0075370E">
        <w:rPr>
          <w:rFonts w:ascii="Arial" w:hAnsi="Arial" w:cs="Arial"/>
          <w:sz w:val="24"/>
          <w:szCs w:val="24"/>
        </w:rPr>
        <w:t>Esta ley aconseja a los consumidores y proveedores de sistemas de servicios eléctricos basados ​​en corriente medida que planifiquen ahora con anticipación la transición a sistemas eléctricos eficientes que no requieren corriente medida para determinar los precios y los costos</w:t>
      </w:r>
      <w:r w:rsidR="00D84BE5">
        <w:rPr>
          <w:rFonts w:ascii="Arial" w:hAnsi="Arial" w:cs="Arial"/>
          <w:sz w:val="24"/>
          <w:szCs w:val="24"/>
        </w:rPr>
        <w:t>.</w:t>
      </w:r>
      <w:r>
        <w:rPr>
          <w:rFonts w:ascii="Arial" w:hAnsi="Arial" w:cs="Arial"/>
          <w:sz w:val="24"/>
          <w:szCs w:val="24"/>
        </w:rPr>
        <w:t>)</w:t>
      </w:r>
    </w:p>
    <w:p w:rsidR="0075370E" w:rsidRDefault="0075370E"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b/>
          <w:sz w:val="24"/>
          <w:szCs w:val="24"/>
        </w:rPr>
      </w:pPr>
      <w:r w:rsidRPr="0075370E">
        <w:rPr>
          <w:rFonts w:ascii="Arial" w:hAnsi="Arial" w:cs="Arial"/>
          <w:b/>
          <w:sz w:val="24"/>
          <w:szCs w:val="24"/>
        </w:rPr>
        <w:t>Ley Legislativa Mundial Número 62</w:t>
      </w:r>
    </w:p>
    <w:p w:rsidR="0075370E" w:rsidRPr="0075370E" w:rsidRDefault="0075370E" w:rsidP="0075370E">
      <w:pPr>
        <w:spacing w:after="0" w:line="240" w:lineRule="auto"/>
        <w:jc w:val="both"/>
        <w:rPr>
          <w:rFonts w:ascii="Arial" w:hAnsi="Arial" w:cs="Arial"/>
          <w:b/>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Cierre mundial de la planta de generación de energía de fisión nuclear</w:t>
      </w:r>
    </w:p>
    <w:p w:rsidR="0075370E" w:rsidRDefault="0075370E"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Título </w:t>
      </w:r>
      <w:proofErr w:type="gramStart"/>
      <w:r w:rsidRPr="0075370E">
        <w:rPr>
          <w:rFonts w:ascii="Arial" w:hAnsi="Arial" w:cs="Arial"/>
          <w:sz w:val="24"/>
          <w:szCs w:val="24"/>
        </w:rPr>
        <w:t>corto</w:t>
      </w:r>
      <w:proofErr w:type="gramEnd"/>
      <w:r w:rsidRPr="0075370E">
        <w:rPr>
          <w:rFonts w:ascii="Arial" w:hAnsi="Arial" w:cs="Arial"/>
          <w:sz w:val="24"/>
          <w:szCs w:val="24"/>
        </w:rPr>
        <w:t>:</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Cierre nuclear</w:t>
      </w:r>
    </w:p>
    <w:p w:rsidR="00D54774" w:rsidRDefault="00D54774"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Considerando que la generación de energía nuclear plantea los riesgos de una mayor producción de grandes cantidades de </w:t>
      </w:r>
      <w:proofErr w:type="spellStart"/>
      <w:r w:rsidRPr="0075370E">
        <w:rPr>
          <w:rFonts w:ascii="Arial" w:hAnsi="Arial" w:cs="Arial"/>
          <w:sz w:val="24"/>
          <w:szCs w:val="24"/>
        </w:rPr>
        <w:t>radionucleidos</w:t>
      </w:r>
      <w:proofErr w:type="spellEnd"/>
      <w:r w:rsidRPr="0075370E">
        <w:rPr>
          <w:rFonts w:ascii="Arial" w:hAnsi="Arial" w:cs="Arial"/>
          <w:sz w:val="24"/>
          <w:szCs w:val="24"/>
        </w:rPr>
        <w:t xml:space="preserve"> antinaturales, muchos de los cuales históricamente han sido y siguen siendo vertidos de forma licenciosa en la biosfera;</w:t>
      </w:r>
    </w:p>
    <w:p w:rsidR="00D54774" w:rsidRPr="0075370E" w:rsidRDefault="00D54774" w:rsidP="0075370E">
      <w:pPr>
        <w:spacing w:after="0" w:line="240" w:lineRule="auto"/>
        <w:jc w:val="both"/>
        <w:rPr>
          <w:rFonts w:ascii="Arial" w:hAnsi="Arial" w:cs="Arial"/>
          <w:sz w:val="24"/>
          <w:szCs w:val="24"/>
        </w:rPr>
      </w:pPr>
    </w:p>
    <w:p w:rsidR="0075370E" w:rsidRPr="0075370E" w:rsidRDefault="00D54774" w:rsidP="0075370E">
      <w:pPr>
        <w:spacing w:after="0" w:line="240" w:lineRule="auto"/>
        <w:jc w:val="both"/>
        <w:rPr>
          <w:rFonts w:ascii="Arial" w:hAnsi="Arial" w:cs="Arial"/>
          <w:sz w:val="24"/>
          <w:szCs w:val="24"/>
        </w:rPr>
      </w:pPr>
      <w:r>
        <w:rPr>
          <w:rFonts w:ascii="Arial" w:hAnsi="Arial" w:cs="Arial"/>
          <w:sz w:val="24"/>
          <w:szCs w:val="24"/>
        </w:rPr>
        <w:t>Mientras que</w:t>
      </w:r>
      <w:r w:rsidR="0075370E" w:rsidRPr="0075370E">
        <w:rPr>
          <w:rFonts w:ascii="Arial" w:hAnsi="Arial" w:cs="Arial"/>
          <w:sz w:val="24"/>
          <w:szCs w:val="24"/>
        </w:rPr>
        <w:t xml:space="preserve"> la proyección de los científicos que no están en una nómina nuclear ha sido que la liberación pasada y actual de desechos nucleares ya podría haber superado lo necesario para la destrucción completa del genoma de los vertebrados, junto con genomas de muchas formas de vida no vertebradas con las que los vertebrados compartir una relación interdependiente;</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Mientras que el verdadero propósito de las plantas de generación de energía nuclear ha sido evidentemente un medio para que las potencias militares internacionales impongan la opresión militar a la gente de la Tierra a través de la producción de plutonio, uranio y combustible pesado de hidrógeno para armas nucleares, y para la creación de un mundo situación de rehenes para los civiles frente a las potencias militares que imponen el estado nuclear mundial;</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Considerando que el estado nuclear mundial, tal como figura en los organismos no viables de la Organización de las Naciones Unidas, no ha previsto la protección de la biosfera y la sociedad del abuso de la energía nuclear mundial;</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Mientras que la situación actual de emergencia de la Tierra con el punto focal nuclear de la triple fusión incontrolada de la planta de generación de energía nuclear Fukushima </w:t>
      </w:r>
      <w:proofErr w:type="spellStart"/>
      <w:r w:rsidRPr="0075370E">
        <w:rPr>
          <w:rFonts w:ascii="Arial" w:hAnsi="Arial" w:cs="Arial"/>
          <w:sz w:val="24"/>
          <w:szCs w:val="24"/>
        </w:rPr>
        <w:t>Dai-ichi</w:t>
      </w:r>
      <w:proofErr w:type="spellEnd"/>
      <w:r w:rsidRPr="0075370E">
        <w:rPr>
          <w:rFonts w:ascii="Arial" w:hAnsi="Arial" w:cs="Arial"/>
          <w:sz w:val="24"/>
          <w:szCs w:val="24"/>
        </w:rPr>
        <w:t xml:space="preserve"> excede con creces la capacidad fiscal y organizativa de no solo la Compañía de Energía Eléctrica de Tokio, sino que también supera con creces la capacidad fiscal de Japón y de todos los japoneses que trabajan en concierto, e incluso supera con creces la capacidad de las agencias internacionales de poder atómico e incluso excede las capacidades de todos los militares de la Tierra, e </w:t>
      </w:r>
      <w:r w:rsidRPr="0075370E">
        <w:rPr>
          <w:rFonts w:ascii="Arial" w:hAnsi="Arial" w:cs="Arial"/>
          <w:sz w:val="24"/>
          <w:szCs w:val="24"/>
        </w:rPr>
        <w:lastRenderedPageBreak/>
        <w:t>incluso las capacidades completas de esos militares combinados con el pleno capacidades de todas las capacidades de financiamiento privado del mundo (como el Banco Mundial, el Fondo Monetario Internacional, el Banco de Pagos Internacionales, la Organización Mundial del Comercio, etc.) trabajando juntas si pudieran;</w:t>
      </w:r>
    </w:p>
    <w:p w:rsidR="00D54774" w:rsidRDefault="00D54774"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Mientras que el financiamiento federal mundial, tal como se define en la Constitución de la Tierra, y según se detalla en la legislación mundial del Parlamento Mundial Provisional, proporciona el aparato fiscal público adecuado para pagar cualquier contingencia, sin hacer </w:t>
      </w:r>
      <w:r w:rsidR="00D54774">
        <w:rPr>
          <w:rFonts w:ascii="Arial" w:hAnsi="Arial" w:cs="Arial"/>
          <w:sz w:val="24"/>
          <w:szCs w:val="24"/>
        </w:rPr>
        <w:t xml:space="preserve">del </w:t>
      </w:r>
      <w:r w:rsidRPr="0075370E">
        <w:rPr>
          <w:rFonts w:ascii="Arial" w:hAnsi="Arial" w:cs="Arial"/>
          <w:sz w:val="24"/>
          <w:szCs w:val="24"/>
        </w:rPr>
        <w:t xml:space="preserve">dinero </w:t>
      </w:r>
      <w:r w:rsidR="00D54774">
        <w:rPr>
          <w:rFonts w:ascii="Arial" w:hAnsi="Arial" w:cs="Arial"/>
          <w:sz w:val="24"/>
          <w:szCs w:val="24"/>
        </w:rPr>
        <w:t xml:space="preserve">un objeto </w:t>
      </w:r>
      <w:r w:rsidRPr="0075370E">
        <w:rPr>
          <w:rFonts w:ascii="Arial" w:hAnsi="Arial" w:cs="Arial"/>
          <w:sz w:val="24"/>
          <w:szCs w:val="24"/>
        </w:rPr>
        <w:t>en la respuesta humana orquestada a la combinación situaciones de emergencia del estado nuclear mundial en medio del colapso climático mundial y otras crisis mundiales;</w:t>
      </w:r>
    </w:p>
    <w:p w:rsidR="00D54774" w:rsidRPr="0075370E"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Considerando que la respuesta mundial de la Federación de la Tierra es orgánica y </w:t>
      </w:r>
      <w:proofErr w:type="gramStart"/>
      <w:r w:rsidRPr="0075370E">
        <w:rPr>
          <w:rFonts w:ascii="Arial" w:hAnsi="Arial" w:cs="Arial"/>
          <w:sz w:val="24"/>
          <w:szCs w:val="24"/>
        </w:rPr>
        <w:t>holográfica</w:t>
      </w:r>
      <w:proofErr w:type="gramEnd"/>
      <w:r w:rsidRPr="0075370E">
        <w:rPr>
          <w:rFonts w:ascii="Arial" w:hAnsi="Arial" w:cs="Arial"/>
          <w:sz w:val="24"/>
          <w:szCs w:val="24"/>
        </w:rPr>
        <w:t xml:space="preserve"> en su propia naturaleza, en comparación con el </w:t>
      </w:r>
      <w:proofErr w:type="spellStart"/>
      <w:r w:rsidRPr="0075370E">
        <w:rPr>
          <w:rFonts w:ascii="Arial" w:hAnsi="Arial" w:cs="Arial"/>
          <w:sz w:val="24"/>
          <w:szCs w:val="24"/>
        </w:rPr>
        <w:t>status</w:t>
      </w:r>
      <w:proofErr w:type="spellEnd"/>
      <w:r w:rsidRPr="0075370E">
        <w:rPr>
          <w:rFonts w:ascii="Arial" w:hAnsi="Arial" w:cs="Arial"/>
          <w:sz w:val="24"/>
          <w:szCs w:val="24"/>
        </w:rPr>
        <w:t xml:space="preserve"> quo, que ha sido y sigue siendo piramidal y fragmentado en su organización;</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Y aunque la gente de la Tierra ya podría ser demasiado tarde para evitar la extinción universal de vertebrados en el corto plazo debido a las emisiones de desechos nucleares y otros daños ambientales antropogénicos que ya se han hecho;</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El Parlamento Mundial, en la 13ª sesión, ordena el cierre de todas las plantas de generación de energía de fisión nuclear en todo el mundo.</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 La Federación de la Tierra inicia y dirige el cierre y el desmantelamiento in situ de todas las plantas de fisión nuclear, comenzando de inmediato e implementando completamente tan pronto como sea posible.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1.1. Los operadores de plantas nucleares actualmente fuera de línea retienen sus reactores fuera de línea.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1.2. Los operadores de plantas nucleares que actualmente se encuentran en proceso de desmantelamiento deberán ajustar su proceso de desmantelamiento para cumplir con los reglamentos de esta ley.</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1.3. Los operadores no deben reciclar materiales radiactivos.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1.4. Los operadores no deben transferir materiales radiactivos fuera del sitio, a menos que la Administración de Rescate Terrestre de Emergencia apruebe específicamente la transferencia.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1.5. Los operadores no deben crear, llenar o utilizar depósitos centrales para materiales radiactivos, a menos que el depósito central esté específicamente aprobado por EERA y la Agencia de Evaluación Tecnológica y Ambiental (ATEA).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1.6. Las plantas que se someten a un proceso de desmantelamiento deberán revisar su plan de desmantelamiento para que su trabajo de desmantelamiento cumpla con esta ley.</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1.7. Los operadores de plantas nucleares que no estaban programadas previamente para este cierre universal deberán </w:t>
      </w:r>
      <w:proofErr w:type="spellStart"/>
      <w:r w:rsidRPr="0075370E">
        <w:rPr>
          <w:rFonts w:ascii="Arial" w:hAnsi="Arial" w:cs="Arial"/>
          <w:sz w:val="24"/>
          <w:szCs w:val="24"/>
        </w:rPr>
        <w:t>apagar</w:t>
      </w:r>
      <w:proofErr w:type="spellEnd"/>
      <w:r w:rsidRPr="0075370E">
        <w:rPr>
          <w:rFonts w:ascii="Arial" w:hAnsi="Arial" w:cs="Arial"/>
          <w:sz w:val="24"/>
          <w:szCs w:val="24"/>
        </w:rPr>
        <w:t xml:space="preserve"> todos los reactores nucleares tan pronto como sea posible, y deberán presentar borradores de cronogramas de cierre a la Administración de Rescate de Emergencia de la Tierra dentro de los seis meses posteriores a la promulgación de esta ley de cierre.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lastRenderedPageBreak/>
        <w:t>1.8. Los contribuyentes y operadores tienen derecho a asistencia en el cierre de conformidad con la Ley Legislativa Mundial Número 50 para el Fondo de Desmantelamiento de la Planta de Energía Nuclear, sujeto a las condiciones descritas en el Artículo 9 de esta Ley de Cierre.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1.9. La construcción cesará inmediatamente en las nuevas plantas de generación de energía de fisión nuclear.</w:t>
      </w:r>
    </w:p>
    <w:p w:rsidR="008128A5" w:rsidRDefault="0075370E" w:rsidP="0075370E">
      <w:pPr>
        <w:spacing w:after="0" w:line="240" w:lineRule="auto"/>
        <w:jc w:val="both"/>
        <w:rPr>
          <w:rFonts w:ascii="Arial" w:hAnsi="Arial" w:cs="Arial"/>
          <w:sz w:val="24"/>
          <w:szCs w:val="24"/>
        </w:rPr>
      </w:pPr>
      <w:r w:rsidRPr="0075370E">
        <w:rPr>
          <w:rFonts w:ascii="Arial" w:hAnsi="Arial" w:cs="Arial"/>
          <w:sz w:val="24"/>
          <w:szCs w:val="24"/>
        </w:rPr>
        <w:t>1.10. Las nuevas plantas de generación de energía de fisión nuclear no deben abrirse.</w:t>
      </w:r>
    </w:p>
    <w:p w:rsidR="00D54774" w:rsidRPr="0075370E"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2. Las agencias de la Federación de la Tierra se coordinarán con científicos, funcionarios gubernamentales y la sociedad civil para fortalecer las evaluaciones ambientales continuas del estado nuclear mundial, junto con las evaluaciones ambientales de las interacciones de las condiciones nucleares con otras preocupaciones ambientales, como las del cambio climático.</w:t>
      </w:r>
    </w:p>
    <w:p w:rsidR="00D54774" w:rsidRDefault="00D54774"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3. La Administración de Emergencia para el Rescate Terrestre (EERA) definida en la Ley Legislativa Mundial # 6, deberá</w:t>
      </w:r>
      <w:r w:rsidR="00D54774">
        <w:rPr>
          <w:rFonts w:ascii="Arial" w:hAnsi="Arial" w:cs="Arial"/>
          <w:sz w:val="24"/>
          <w:szCs w:val="24"/>
        </w:rPr>
        <w:t xml:space="preserve"> </w:t>
      </w:r>
      <w:r w:rsidRPr="0075370E">
        <w:rPr>
          <w:rFonts w:ascii="Arial" w:hAnsi="Arial" w:cs="Arial"/>
          <w:sz w:val="24"/>
          <w:szCs w:val="24"/>
        </w:rPr>
        <w:t>orquestar con otras agencias de la Federación de la Tierra, particularmente con el Ministerio del Medio Ambiente Mundial, la Agencia Mundial de Desarme y la Corporación de Financiación de la Federación de la Tierra, a fin de coordinar el esfuerzo sin redundancias e ineficiencias innecesarias.</w:t>
      </w:r>
    </w:p>
    <w:p w:rsidR="00D54774" w:rsidRPr="0075370E" w:rsidRDefault="00D54774" w:rsidP="0075370E">
      <w:pPr>
        <w:spacing w:after="0" w:line="240" w:lineRule="auto"/>
        <w:jc w:val="both"/>
        <w:rPr>
          <w:rFonts w:ascii="Arial" w:hAnsi="Arial" w:cs="Arial"/>
          <w:sz w:val="24"/>
          <w:szCs w:val="24"/>
        </w:rPr>
      </w:pP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4. Las agencias se coordinarán para desmantelar las plantas nucleares en el sitio sin transferencia para centralizar los desechos y sin reciclar los materiales </w:t>
      </w:r>
      <w:proofErr w:type="spellStart"/>
      <w:r w:rsidRPr="0075370E">
        <w:rPr>
          <w:rFonts w:ascii="Arial" w:hAnsi="Arial" w:cs="Arial"/>
          <w:sz w:val="24"/>
          <w:szCs w:val="24"/>
        </w:rPr>
        <w:t>radioactivados</w:t>
      </w:r>
      <w:proofErr w:type="spellEnd"/>
      <w:r w:rsidRPr="0075370E">
        <w:rPr>
          <w:rFonts w:ascii="Arial" w:hAnsi="Arial" w:cs="Arial"/>
          <w:sz w:val="24"/>
          <w:szCs w:val="24"/>
        </w:rPr>
        <w:t>. La Agencia Mundial de Desarme trabajará con la EERA para llevar a cabo procedimientos para el secuestro perpetuo in situ de materiales nucleares.</w:t>
      </w:r>
    </w:p>
    <w:p w:rsidR="00D54774" w:rsidRPr="0075370E"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5. Excepciones a las transferencias.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El Ministerio del Medio Ambiente Mundial junto con la Agencia de Evaluación Tecnológica y Ambiental (ATEA) puede autorizar excepciones al secuestro in situ de materiales nucleares cuando las condiciones locales impiden cualquier etapa del proceso de secuestro, como cuando el aumento del agua de mar o la disminución de la costa no permita que continúe el secuestro en el sitio. En estos casos de excepción, el Ministerio del Medio Ambiente Mundial y EERA se transferirán solo al lugar más cercano razonablemente seguro del problema que requiere la transferencia, considerando y presupuestando todos los factores, tales como la necesidad de reubicación de civiles, proximidad a tierra cultivab</w:t>
      </w:r>
      <w:r w:rsidR="00D54774">
        <w:rPr>
          <w:rFonts w:ascii="Arial" w:hAnsi="Arial" w:cs="Arial"/>
          <w:sz w:val="24"/>
          <w:szCs w:val="24"/>
        </w:rPr>
        <w:t>le, proximidad a agua potable,</w:t>
      </w:r>
      <w:r w:rsidRPr="0075370E">
        <w:rPr>
          <w:rFonts w:ascii="Arial" w:hAnsi="Arial" w:cs="Arial"/>
          <w:sz w:val="24"/>
          <w:szCs w:val="24"/>
        </w:rPr>
        <w:t xml:space="preserve"> acuíferos, proximidad a la costa y seguridad frente a otros peligros ambientales.</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6. Eliminación del combustible gastado de las piscinas de combustible gastado.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EERA y la WDA que trabajen en concierto trabajarán para secar los combustibles gastados en barrica de los estanques de almacenamiento de combustible gastado en todo el mundo.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El depósito seco de combustible gastado se completará en el sitio, a menos que se requieran excepciones como se define en el Artículo 5 de esta Ley.</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lastRenderedPageBreak/>
        <w:t>Los barriles secos permanecerán en el sitio, a menos que la transferencia esté autorizada por la Agencia de Evaluación Tecnológica y Ambiental y el Ministerio del Medio Ambiente.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Agencia de Evaluación Tecnológica y Ambiental estudiará el estado de los barriles secos y las estructuras en las que se almacenan los barriles secos. La ATEA propondrá presupuestos para el reemplazo de barriles secos gastados y para el cuidado perpetuo de los barriles secos gastados.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Si la ATEA, el Ministerio del Medio Ambiente, el Sistema de </w:t>
      </w:r>
      <w:r w:rsidR="00556202">
        <w:rPr>
          <w:rFonts w:ascii="Arial" w:hAnsi="Arial" w:cs="Arial"/>
          <w:sz w:val="24"/>
          <w:szCs w:val="24"/>
        </w:rPr>
        <w:t>Coerción</w:t>
      </w:r>
      <w:r w:rsidRPr="0075370E">
        <w:rPr>
          <w:rFonts w:ascii="Arial" w:hAnsi="Arial" w:cs="Arial"/>
          <w:sz w:val="24"/>
          <w:szCs w:val="24"/>
        </w:rPr>
        <w:t xml:space="preserve"> y la Agencia Mundial de Desarme autorizan un sistema de reemplazo, la EERA puede introducir el nuevo sistema, sujeto a la aprobación y posterior regulación del Parlamento Mundial.</w:t>
      </w:r>
    </w:p>
    <w:p w:rsidR="00D54774"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7. Evacuación de residentes de áreas contaminadas.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EERA, en colaboración con otras agencias de la Federación de la Tierra y las agencias nacionales y locales, deberá prever la evacuación de los residentes de las áreas contaminadas. EERA evaluará situaciones nucleares y sociales. EERA establecerá una autoridad de vivienda. EERA proporcionará asistencia para mantener a las familias unidas cuando las familias lo deseen, y proporcionará compensación tanto a las familias transferidas como a las comunidades que reciben los transferidos.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7. 1. La compensación va a los residentes que abandonan las áreas contaminadas.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7.2. La compensación se destina a las comunidades que reciben evacuados (la ciudad local o la siguiente jurisdicción superior si el reasentamiento se realiza en un área no incorporada).</w:t>
      </w: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7.3. Los casos y condiciones específicos de evacuación se abordan en el artículo 10 de esta ley.</w:t>
      </w:r>
    </w:p>
    <w:p w:rsidR="00D54774" w:rsidRPr="0075370E" w:rsidRDefault="00D54774"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8. Seguridad perpetua de los sitios nucleares mundiales.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El </w:t>
      </w:r>
      <w:proofErr w:type="spellStart"/>
      <w:r w:rsidRPr="0075370E">
        <w:rPr>
          <w:rFonts w:ascii="Arial" w:hAnsi="Arial" w:cs="Arial"/>
          <w:sz w:val="24"/>
          <w:szCs w:val="24"/>
        </w:rPr>
        <w:t>Presidium</w:t>
      </w:r>
      <w:proofErr w:type="spellEnd"/>
      <w:r w:rsidRPr="0075370E">
        <w:rPr>
          <w:rFonts w:ascii="Arial" w:hAnsi="Arial" w:cs="Arial"/>
          <w:sz w:val="24"/>
          <w:szCs w:val="24"/>
        </w:rPr>
        <w:t xml:space="preserve"> es responsable de coordinar las siguientes agencias mundiales para garantizar la seguridad perpetua de los sitios nucleares mundiales: la Agencia Mundial de Desarme, la Agencia Mundial del Medio Ambiente y las agencias del Complejo Integrativo.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 Agencia Mundial de Desarme junto con el Sistema de </w:t>
      </w:r>
      <w:r w:rsidR="00556202">
        <w:rPr>
          <w:rFonts w:ascii="Arial" w:hAnsi="Arial" w:cs="Arial"/>
          <w:sz w:val="24"/>
          <w:szCs w:val="24"/>
        </w:rPr>
        <w:t>Coerción</w:t>
      </w:r>
      <w:r w:rsidRPr="0075370E">
        <w:rPr>
          <w:rFonts w:ascii="Arial" w:hAnsi="Arial" w:cs="Arial"/>
          <w:sz w:val="24"/>
          <w:szCs w:val="24"/>
        </w:rPr>
        <w:t xml:space="preserve"> y las agencias del Complejo Integrativo determinarán periódicamente las condiciones para la seguridad perpetua de los barriles secos en uso, el contenido de los barriles secos y los barriles secos gastados. El Complejo Integrativ</w:t>
      </w:r>
      <w:r w:rsidR="00556202">
        <w:rPr>
          <w:rFonts w:ascii="Arial" w:hAnsi="Arial" w:cs="Arial"/>
          <w:sz w:val="24"/>
          <w:szCs w:val="24"/>
        </w:rPr>
        <w:t>o junto con el Sistema de Coer</w:t>
      </w:r>
      <w:r w:rsidRPr="0075370E">
        <w:rPr>
          <w:rFonts w:ascii="Arial" w:hAnsi="Arial" w:cs="Arial"/>
          <w:sz w:val="24"/>
          <w:szCs w:val="24"/>
        </w:rPr>
        <w:t>ción propondrá un presupuesto para la seguridad perpetua del sistema de barrica seca.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El Sistema de </w:t>
      </w:r>
      <w:r w:rsidR="00556202">
        <w:rPr>
          <w:rFonts w:ascii="Arial" w:hAnsi="Arial" w:cs="Arial"/>
          <w:sz w:val="24"/>
          <w:szCs w:val="24"/>
        </w:rPr>
        <w:t>Coerción</w:t>
      </w:r>
      <w:r w:rsidRPr="0075370E">
        <w:rPr>
          <w:rFonts w:ascii="Arial" w:hAnsi="Arial" w:cs="Arial"/>
          <w:sz w:val="24"/>
          <w:szCs w:val="24"/>
        </w:rPr>
        <w:t xml:space="preserve"> y la Administración del Servicio Civil Mundial deberán presentar un presupuesto anual para el personal de seguridad para proteger adecuadamente los sitios nucleares de los riesgos de seguridad de robo, accidente, vandalismo, guerra o cualquier otro problema que genere el peligro de violar el secuestro de los materiales nucleares.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9. Sistemas de energía regenerativa y conservación para reemplazar los sistemas de energía de consumo.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lastRenderedPageBreak/>
        <w:t xml:space="preserve">El estudio cursivo del trabajo de Michael Faraday, Albert Einstein, Nikola Tesla y otros físicos e inventores (Newman, </w:t>
      </w:r>
      <w:proofErr w:type="spellStart"/>
      <w:r w:rsidRPr="0075370E">
        <w:rPr>
          <w:rFonts w:ascii="Arial" w:hAnsi="Arial" w:cs="Arial"/>
          <w:sz w:val="24"/>
          <w:szCs w:val="24"/>
        </w:rPr>
        <w:t>Bedini</w:t>
      </w:r>
      <w:proofErr w:type="spellEnd"/>
      <w:r w:rsidRPr="0075370E">
        <w:rPr>
          <w:rFonts w:ascii="Arial" w:hAnsi="Arial" w:cs="Arial"/>
          <w:sz w:val="24"/>
          <w:szCs w:val="24"/>
        </w:rPr>
        <w:t xml:space="preserve"> y otros) muestra claramente que la resistencia mecánica de un motor para producir rotación depende del </w:t>
      </w:r>
      <w:r w:rsidR="00D84BE5">
        <w:rPr>
          <w:rFonts w:ascii="Arial" w:hAnsi="Arial" w:cs="Arial"/>
          <w:sz w:val="24"/>
          <w:szCs w:val="24"/>
        </w:rPr>
        <w:t>voltaje y del número de vueltas</w:t>
      </w:r>
      <w:r w:rsidRPr="0075370E">
        <w:rPr>
          <w:rFonts w:ascii="Arial" w:hAnsi="Arial" w:cs="Arial"/>
          <w:sz w:val="24"/>
          <w:szCs w:val="24"/>
        </w:rPr>
        <w:t xml:space="preserve"> de cable, en lugar de una función de la corriente del motor.</w:t>
      </w:r>
    </w:p>
    <w:p w:rsidR="00D84BE5" w:rsidRDefault="00D84BE5"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(Explicación en anexo)</w:t>
      </w:r>
    </w:p>
    <w:p w:rsidR="00D84BE5" w:rsidRDefault="00D84BE5"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El Parlamento Mundial desalienta la práctica industrial de cobrar por la corriente. </w:t>
      </w:r>
      <w:r w:rsidR="00D84BE5">
        <w:rPr>
          <w:rFonts w:ascii="Arial" w:hAnsi="Arial" w:cs="Arial"/>
          <w:sz w:val="24"/>
          <w:szCs w:val="24"/>
        </w:rPr>
        <w:t>La Sala</w:t>
      </w:r>
      <w:r w:rsidRPr="0075370E">
        <w:rPr>
          <w:rFonts w:ascii="Arial" w:hAnsi="Arial" w:cs="Arial"/>
          <w:sz w:val="24"/>
          <w:szCs w:val="24"/>
        </w:rPr>
        <w:t xml:space="preserve"> Mundial para Casos Civiles y </w:t>
      </w:r>
      <w:r w:rsidR="00D84BE5">
        <w:rPr>
          <w:rFonts w:ascii="Arial" w:hAnsi="Arial" w:cs="Arial"/>
          <w:sz w:val="24"/>
          <w:szCs w:val="24"/>
        </w:rPr>
        <w:t>la Sala</w:t>
      </w:r>
      <w:r w:rsidRPr="0075370E">
        <w:rPr>
          <w:rFonts w:ascii="Arial" w:hAnsi="Arial" w:cs="Arial"/>
          <w:sz w:val="24"/>
          <w:szCs w:val="24"/>
        </w:rPr>
        <w:t xml:space="preserve"> Mundial para Casos Públicos juzgarán a favor de sistemas de energía eficientes que generen poco o ningún calor residual. Al comienzo de la primera etapa operativa de la Federación de la Tierra, la Corte Mundial puede juzgar contra los demandantes que exigen una indemnización por no proporcionar corriente en los sistemas basados ​​en corriente medida. L</w:t>
      </w:r>
      <w:r w:rsidR="00D84BE5">
        <w:rPr>
          <w:rFonts w:ascii="Arial" w:hAnsi="Arial" w:cs="Arial"/>
          <w:sz w:val="24"/>
          <w:szCs w:val="24"/>
        </w:rPr>
        <w:t>as</w:t>
      </w:r>
      <w:r w:rsidRPr="0075370E">
        <w:rPr>
          <w:rFonts w:ascii="Arial" w:hAnsi="Arial" w:cs="Arial"/>
          <w:sz w:val="24"/>
          <w:szCs w:val="24"/>
        </w:rPr>
        <w:t xml:space="preserve"> </w:t>
      </w:r>
      <w:r w:rsidR="00D84BE5">
        <w:rPr>
          <w:rFonts w:ascii="Arial" w:hAnsi="Arial" w:cs="Arial"/>
          <w:sz w:val="24"/>
          <w:szCs w:val="24"/>
        </w:rPr>
        <w:t>Salas</w:t>
      </w:r>
      <w:r w:rsidRPr="0075370E">
        <w:rPr>
          <w:rFonts w:ascii="Arial" w:hAnsi="Arial" w:cs="Arial"/>
          <w:sz w:val="24"/>
          <w:szCs w:val="24"/>
        </w:rPr>
        <w:t xml:space="preserve"> de la Corte Mundial pueden juzgar en contra de los acusados ​​que cobran por la corriente al comenzar la primera etapa operativa de la federación mundial. Esta ley ordena tanto a los proveedores como a los consumidores de sistemas medidos basados ​​en corriente que se abstengan de cobrar o pagar por la corriente misma. El tribunal considerará si los demandantes o los demandados están intentando utilizar sistemas que explotan los cargos fiscales por corriente medida. Esta ley aconseja a los consumidores y proveedores de sistemas de servicios eléctricos basados ​​en corriente medida que planifiquen ahora con anticipación la transición a sistemas eléctricos eficientes que no requieren corriente medida para determinar los precios y los costos.</w:t>
      </w:r>
    </w:p>
    <w:p w:rsidR="00D84BE5" w:rsidRDefault="00D84BE5"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 Casos especiales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 Caso Fukushima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10.001.1. El gobierno japonés, en cooperación con la Federación de la Tierra, puede recomendar la reubicación a las personas dentro de las tierras más afectadas por el derrumbe del tsunami del 11 de marzo de 2011 de los reactores nucleares en la planta de generación de energía Fukushima </w:t>
      </w:r>
      <w:proofErr w:type="spellStart"/>
      <w:r w:rsidRPr="0075370E">
        <w:rPr>
          <w:rFonts w:ascii="Arial" w:hAnsi="Arial" w:cs="Arial"/>
          <w:sz w:val="24"/>
          <w:szCs w:val="24"/>
        </w:rPr>
        <w:t>Dai-ichi</w:t>
      </w:r>
      <w:proofErr w:type="spellEnd"/>
      <w:r w:rsidRPr="0075370E">
        <w:rPr>
          <w:rFonts w:ascii="Arial" w:hAnsi="Arial" w:cs="Arial"/>
          <w:sz w:val="24"/>
          <w:szCs w:val="24"/>
        </w:rPr>
        <w:t>.</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(Consulte los mapas del apéndice de las áreas más contaminadas: Y. </w:t>
      </w:r>
      <w:proofErr w:type="spellStart"/>
      <w:r w:rsidRPr="0075370E">
        <w:rPr>
          <w:rFonts w:ascii="Arial" w:hAnsi="Arial" w:cs="Arial"/>
          <w:sz w:val="24"/>
          <w:szCs w:val="24"/>
        </w:rPr>
        <w:t>Hayakawa</w:t>
      </w:r>
      <w:proofErr w:type="spellEnd"/>
      <w:r w:rsidRPr="0075370E">
        <w:rPr>
          <w:rFonts w:ascii="Arial" w:hAnsi="Arial" w:cs="Arial"/>
          <w:sz w:val="24"/>
          <w:szCs w:val="24"/>
        </w:rPr>
        <w:t>, 2013)</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Corporación de Financiación presupuestará fondos razonables para evaluar y eventualmente asumir el costo de reubicaciones fuera de las áreas contaminadas. Los costos de evaluación incluirán no solo los gastos de viaje de las personas, sino también los costos para establecer nuevas viviendas más allá de los campamentos de refugiados. Se asignarán fondos iguales a las personas reubicadas, así como a la comunidad local (ciudad o prefectura en caso de reubicación no incorporada). Las reubicaciones pueden ser dentro o fuera de Japón.</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Hasta el momento en que se identifiquen y aprueben los lugares de recepción, Japón, en cooperación con EERA, puede establecer campamentos de refugiados para evacuados fuera de las zonas más contaminadas, según lo designado por las agencias de la Federación de la Tierra. La seguridad del campamento de refugiados se establecerá de manera tal que se facilite la entrada y salida de los campamentos y sin burocracia.</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10.001.2. Equipo de expertos científicos independientes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lastRenderedPageBreak/>
        <w:t>La Administración de rescate de emergencia de la Tierra empleará a un equipo de expertos científicos independientes en el campo de la ingeniería nuclear, la fisiología nuclear y otros campos, según lo determine el equipo necesario.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10.001.2.1. Funciones del equipo de expertos científicos independientes.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Las funciones del equipo incluyen lo siguiente: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 1. El equipo dirigirá las operaciones para los enfoques más seguros y efectivos para la reducción de la criticidad y la contaminación nuclear provenientes de la instalación de Fukushima </w:t>
      </w:r>
      <w:proofErr w:type="spellStart"/>
      <w:r w:rsidRPr="0075370E">
        <w:rPr>
          <w:rFonts w:ascii="Arial" w:hAnsi="Arial" w:cs="Arial"/>
          <w:sz w:val="24"/>
          <w:szCs w:val="24"/>
        </w:rPr>
        <w:t>Dai-ichi</w:t>
      </w:r>
      <w:proofErr w:type="spellEnd"/>
      <w:r w:rsidRPr="0075370E">
        <w:rPr>
          <w:rFonts w:ascii="Arial" w:hAnsi="Arial" w:cs="Arial"/>
          <w:sz w:val="24"/>
          <w:szCs w:val="24"/>
        </w:rPr>
        <w:t>.</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2. El equipo puede iniciar órdenes para cualquier otra evacuación, con la condición de que el gobierno de Japón o la Federación de la Tierra también puedan dirigir una mayor evacuación basada en evaluaciones científicas adicionales de la Agencia de Evaluación Tecnológica y Ambiental.</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3. Las funciones adicionales del equipo son dar consultas sobre otras plantas nucleares que están en proceso de parada y desmantelamiento.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10.001.2.2. Duración del equipo.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El equipo de Expertos Científicos Independientes continuará operando todo el tiempo que sea necesario hasta que las condiciones de emergencia nuclear lleguen a su fin, según lo medido por el retorno de las principales áreas afectadas a un estado de tierras cultivables y aguas potables, junto con el certeza justa de que las reacciones nucleares críticas no volverán a las instalaciones de Fukushima </w:t>
      </w:r>
      <w:proofErr w:type="spellStart"/>
      <w:r w:rsidRPr="0075370E">
        <w:rPr>
          <w:rFonts w:ascii="Arial" w:hAnsi="Arial" w:cs="Arial"/>
          <w:sz w:val="24"/>
          <w:szCs w:val="24"/>
        </w:rPr>
        <w:t>Dai-ichi</w:t>
      </w:r>
      <w:proofErr w:type="spellEnd"/>
      <w:r w:rsidRPr="0075370E">
        <w:rPr>
          <w:rFonts w:ascii="Arial" w:hAnsi="Arial" w:cs="Arial"/>
          <w:sz w:val="24"/>
          <w:szCs w:val="24"/>
        </w:rPr>
        <w:t xml:space="preserve"> y sus bases subyacentes, según lo medido por el equipo de expertos, así como por la Agencia de Evaluación Tecnológica y Ambiental y el Ministerio del Medio Ambiente.</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10.001.2.3. Restricciones en la membresía del equipo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Los miembros del equipo y sus familiares inmediatos no deben mantener lazos con la industria nuclear fuera de su relación como miembros del equipo, que no sean pensionistas de ex empleados de la industria nuclear. Los miembros del equipo y sus familiares inmediatos no deben retener el empleo, la membresía de la junta o la participación accionaria en ninguna empresa nuclear. Los miembros del equipo y sus familiares inmediatos no deben ser miembros ni estar empleados en la Agencia Internacional de Energía Atómica ni en ninguna agencia u organización cuya misión sea promover la generación de energía nuclear.</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10.001.3. </w:t>
      </w:r>
      <w:proofErr w:type="spellStart"/>
      <w:r w:rsidRPr="0075370E">
        <w:rPr>
          <w:rFonts w:ascii="Arial" w:hAnsi="Arial" w:cs="Arial"/>
          <w:sz w:val="24"/>
          <w:szCs w:val="24"/>
        </w:rPr>
        <w:t>Semi</w:t>
      </w:r>
      <w:proofErr w:type="spellEnd"/>
      <w:r w:rsidRPr="0075370E">
        <w:rPr>
          <w:rFonts w:ascii="Arial" w:hAnsi="Arial" w:cs="Arial"/>
          <w:sz w:val="24"/>
          <w:szCs w:val="24"/>
        </w:rPr>
        <w:t>-contención post-fusión</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 Administración de Rescate Terrestre de Emergencia y el Equipo de Expertos Independientes considerarán todos los medios de </w:t>
      </w:r>
      <w:proofErr w:type="spellStart"/>
      <w:r w:rsidRPr="0075370E">
        <w:rPr>
          <w:rFonts w:ascii="Arial" w:hAnsi="Arial" w:cs="Arial"/>
          <w:sz w:val="24"/>
          <w:szCs w:val="24"/>
        </w:rPr>
        <w:t>semicontención</w:t>
      </w:r>
      <w:proofErr w:type="spellEnd"/>
      <w:r w:rsidRPr="0075370E">
        <w:rPr>
          <w:rFonts w:ascii="Arial" w:hAnsi="Arial" w:cs="Arial"/>
          <w:sz w:val="24"/>
          <w:szCs w:val="24"/>
        </w:rPr>
        <w:t xml:space="preserve"> y reducción de la criticidad, incluida la dispersión controlada de barras de combustible, barreras de zeolita, vitrificación y barreras térmicas. El equipo de expertos independientes no debe considerar los costos monetarios de las soluciones tecnológicas, sino exclusivamente los costos </w:t>
      </w:r>
      <w:proofErr w:type="spellStart"/>
      <w:r w:rsidRPr="0075370E">
        <w:rPr>
          <w:rFonts w:ascii="Arial" w:hAnsi="Arial" w:cs="Arial"/>
          <w:sz w:val="24"/>
          <w:szCs w:val="24"/>
        </w:rPr>
        <w:t>biosféricos</w:t>
      </w:r>
      <w:proofErr w:type="spellEnd"/>
      <w:r w:rsidRPr="0075370E">
        <w:rPr>
          <w:rFonts w:ascii="Arial" w:hAnsi="Arial" w:cs="Arial"/>
          <w:sz w:val="24"/>
          <w:szCs w:val="24"/>
        </w:rPr>
        <w:t>, ambientales y humanos.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10.001.4. Monitoreo de radiación y educación</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 Corporación de Financiación de la Federación de la Tierra contratará el desarrollo y la producción de monitores de radiación de seguimiento de tiempo y ubicación impermeables personales que sean capaces de detectar radiación alfa, beta y gamma. Si las tres versiones del detector no están disponibles de inmediato, la Corporación de Financiación contratará el diseño y la implementación lo antes posible. Los monitores de radiación se asignarán primero a las personas en las áreas más afectadas alrededor de Fukushima y </w:t>
      </w:r>
      <w:proofErr w:type="spellStart"/>
      <w:r w:rsidRPr="0075370E">
        <w:rPr>
          <w:rFonts w:ascii="Arial" w:hAnsi="Arial" w:cs="Arial"/>
          <w:sz w:val="24"/>
          <w:szCs w:val="24"/>
        </w:rPr>
        <w:t>Honshu</w:t>
      </w:r>
      <w:proofErr w:type="spellEnd"/>
      <w:r w:rsidRPr="0075370E">
        <w:rPr>
          <w:rFonts w:ascii="Arial" w:hAnsi="Arial" w:cs="Arial"/>
          <w:sz w:val="24"/>
          <w:szCs w:val="24"/>
        </w:rPr>
        <w:t xml:space="preserve">. Esto incluye bebés, niños </w:t>
      </w:r>
      <w:r w:rsidRPr="0075370E">
        <w:rPr>
          <w:rFonts w:ascii="Arial" w:hAnsi="Arial" w:cs="Arial"/>
          <w:sz w:val="24"/>
          <w:szCs w:val="24"/>
        </w:rPr>
        <w:lastRenderedPageBreak/>
        <w:t>y adultos. Los adultos deberán afirmar su apoyo a la Constitución de la Tierra como condición para recibir sus detectores personales. La Corporación de Financiación intentará contratar con un fabricante o fabricantes capaces para fortalecer la capacidad de los fabricantes. Los fabricantes deberán afirmar el apoyo a la Constitución de la Tierra y la legislación mundial como una condición del contrato. El soporte de precios encontrará los precios que generan ventas rápidas. El proceso de auditoría de calidad realizado por el fabricante, por la Agencia de Evaluación Tecnológica y Ambiental, así como los estudios independientes garantizarán la calidad.</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10.001.5. Importación de alimentos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 gente, los agricultores, los comerciantes y los gobiernos medirán la contaminación radiológica de los alimentos. Las agencias de la Federación de la Tierra trabajarán con los importadores para asegurar la importación adecuada de alimentos para reemplazar los alimentos peligrosamente contaminados, particularmente en todo </w:t>
      </w:r>
      <w:proofErr w:type="spellStart"/>
      <w:r w:rsidRPr="0075370E">
        <w:rPr>
          <w:rFonts w:ascii="Arial" w:hAnsi="Arial" w:cs="Arial"/>
          <w:sz w:val="24"/>
          <w:szCs w:val="24"/>
        </w:rPr>
        <w:t>Honshu</w:t>
      </w:r>
      <w:proofErr w:type="spellEnd"/>
      <w:r w:rsidRPr="0075370E">
        <w:rPr>
          <w:rFonts w:ascii="Arial" w:hAnsi="Arial" w:cs="Arial"/>
          <w:sz w:val="24"/>
          <w:szCs w:val="24"/>
        </w:rPr>
        <w:t>, pero donde sea que surja esta necesidad. La Administración de Rescate de Emergencia de la Tierra deberá prever la eliminación y el secuestro de alimentos en mal estado debido al contenido de radiación.</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10.001.6. Disposiciones de atención médica (Reservado para deliberación adicional)</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10.002. Otras emergencias (Reservado para deliberación adicional)</w:t>
      </w:r>
    </w:p>
    <w:p w:rsidR="00D84BE5" w:rsidRDefault="00D84BE5"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11. Presupuesto</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Federación de la Tierra asume la autoridad para las finanzas públicas del cierre y el cuidado perpetuo de las instalaciones nucleares cerradas y los desechos nucleares. Los gobiernos, las empresas de servicios públicos y las personas que aceptan asistencia de la Federación de la Tierra aceptarán la transición por etapas a la operación financiada con fondos públicos en la unidad de crédito y moneda de la Federación de la Tierra (la Hora del Planeta). Los contratos de servicios de esta ley que utilizan la Corporación de Financiación de la Federación de la Tierra deberán tener en cuenta que la Federación de la Tierra solo remitirá los pagos de préstamos en horas de la Tierra por la moneda fuerte o blanda recibida. La Corporación de Financiación puede gastar cualquier moneda disponible para la contratación de servicios.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El </w:t>
      </w:r>
      <w:proofErr w:type="spellStart"/>
      <w:r w:rsidRPr="0075370E">
        <w:rPr>
          <w:rFonts w:ascii="Arial" w:hAnsi="Arial" w:cs="Arial"/>
          <w:sz w:val="24"/>
          <w:szCs w:val="24"/>
        </w:rPr>
        <w:t>Presidium</w:t>
      </w:r>
      <w:proofErr w:type="spellEnd"/>
      <w:r w:rsidRPr="0075370E">
        <w:rPr>
          <w:rFonts w:ascii="Arial" w:hAnsi="Arial" w:cs="Arial"/>
          <w:sz w:val="24"/>
          <w:szCs w:val="24"/>
        </w:rPr>
        <w:t xml:space="preserve"> o el Comité de Medios y Arbitrios (Comité de Finanzas) </w:t>
      </w:r>
      <w:proofErr w:type="gramStart"/>
      <w:r w:rsidRPr="0075370E">
        <w:rPr>
          <w:rFonts w:ascii="Arial" w:hAnsi="Arial" w:cs="Arial"/>
          <w:sz w:val="24"/>
          <w:szCs w:val="24"/>
        </w:rPr>
        <w:t>presentará</w:t>
      </w:r>
      <w:proofErr w:type="gramEnd"/>
      <w:r w:rsidRPr="0075370E">
        <w:rPr>
          <w:rFonts w:ascii="Arial" w:hAnsi="Arial" w:cs="Arial"/>
          <w:sz w:val="24"/>
          <w:szCs w:val="24"/>
        </w:rPr>
        <w:t xml:space="preserve"> las disposiciones presupuestarias para esta ley al Parlamento Mundial junto con la presentación del presupuesto operativo general para la Federación de la Tierra. Para ayudar a las autoridades locales y los pueblos, la dirección de la Corporación de Financiación puede establecer tipos de cambio flotantes con monedas locales para ayudar a las personas.</w:t>
      </w:r>
    </w:p>
    <w:p w:rsidR="00D84BE5" w:rsidRDefault="00D84BE5"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12. Auditoría de calidad</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 Agencia de Evaluación Tecnológica y Ambiental establecerá un procedimiento de auditoría de calidad no exclusivo para controlar la eficiencia y la seguridad de los procedimientos y programas de cierre nuclear. Además e independientemente, el Defensor del Pueblo Mundial realizará auditorías de calidad de los procedimientos y programas de cierre nuclear. Las organizaciones de la sociedad civil pueden realizar su propia auditoría de calidad de los procedimientos y programas nucleares. </w:t>
      </w:r>
      <w:r w:rsidRPr="0075370E">
        <w:rPr>
          <w:rFonts w:ascii="Arial" w:hAnsi="Arial" w:cs="Arial"/>
          <w:sz w:val="24"/>
          <w:szCs w:val="24"/>
        </w:rPr>
        <w:lastRenderedPageBreak/>
        <w:t xml:space="preserve">El Sistema de </w:t>
      </w:r>
      <w:r w:rsidR="00556202">
        <w:rPr>
          <w:rFonts w:ascii="Arial" w:hAnsi="Arial" w:cs="Arial"/>
          <w:sz w:val="24"/>
          <w:szCs w:val="24"/>
        </w:rPr>
        <w:t>Coerc</w:t>
      </w:r>
      <w:r w:rsidRPr="0075370E">
        <w:rPr>
          <w:rFonts w:ascii="Arial" w:hAnsi="Arial" w:cs="Arial"/>
          <w:sz w:val="24"/>
          <w:szCs w:val="24"/>
        </w:rPr>
        <w:t xml:space="preserve">ión desarrollará procedimientos para permitir el ingreso de representantes de la sociedad civil a tierras, aguas, cualquier espacio aéreo de acceso restringido e instalaciones nucleares contaminadas de acceso restringido, de acuerdo con las condiciones que el Sistema de </w:t>
      </w:r>
      <w:r w:rsidR="00556202">
        <w:rPr>
          <w:rFonts w:ascii="Arial" w:hAnsi="Arial" w:cs="Arial"/>
          <w:sz w:val="24"/>
          <w:szCs w:val="24"/>
        </w:rPr>
        <w:t>Coerc</w:t>
      </w:r>
      <w:r w:rsidRPr="0075370E">
        <w:rPr>
          <w:rFonts w:ascii="Arial" w:hAnsi="Arial" w:cs="Arial"/>
          <w:sz w:val="24"/>
          <w:szCs w:val="24"/>
        </w:rPr>
        <w:t>ión diseñe para regular los riesgos.</w:t>
      </w:r>
    </w:p>
    <w:p w:rsidR="00934B98" w:rsidRDefault="00934B98"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13. Integración de roles de agencias mundiales y agencias internacionales.</w:t>
      </w:r>
    </w:p>
    <w:p w:rsid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Administración de Rescate Terrestre de Emergencia llevará a cabo sus operaciones de conformidad con la Ley de Contaminación Nuclear (WLA35) y el Procedimiento de Desmantelamiento de Armas Nucleares (WLA34). En la medida en que las agencias internacionales no interfieran con la legislación mundial y con los programas y procedimientos de esta ley, la EERA y la Agencia Mundial de Desarme (WDA) pueden cooperar con las agencias internacionales, como la Agencia Internacional de Energía Atómica.</w:t>
      </w:r>
    </w:p>
    <w:p w:rsidR="00556202" w:rsidRPr="0075370E"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14. Una Comisión Parlamentaria Permanente está formada por aquellos miembros del Parlamento Mundial Provisional que trabajarán en la implementación de esta legislación entre las sesiones del Parlamento Mundial.</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Anexo sobre sistemas eléctricos (mencionado en el artículo 9):</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Explicación de los principios magnéticos.</w:t>
      </w:r>
    </w:p>
    <w:p w:rsidR="0075370E" w:rsidRPr="0075370E" w:rsidRDefault="0075370E" w:rsidP="0075370E">
      <w:pPr>
        <w:spacing w:after="0" w:line="240" w:lineRule="auto"/>
        <w:jc w:val="both"/>
        <w:rPr>
          <w:rFonts w:ascii="Arial" w:hAnsi="Arial" w:cs="Arial"/>
          <w:sz w:val="24"/>
          <w:szCs w:val="24"/>
          <w:lang w:val="en-US"/>
        </w:rPr>
      </w:pPr>
      <w:proofErr w:type="gramStart"/>
      <w:r w:rsidRPr="0075370E">
        <w:rPr>
          <w:rFonts w:ascii="Arial" w:hAnsi="Arial" w:cs="Arial"/>
          <w:sz w:val="24"/>
          <w:szCs w:val="24"/>
          <w:lang w:val="en-US"/>
        </w:rPr>
        <w:t>de</w:t>
      </w:r>
      <w:proofErr w:type="gramEnd"/>
      <w:r w:rsidRPr="0075370E">
        <w:rPr>
          <w:rFonts w:ascii="Arial" w:hAnsi="Arial" w:cs="Arial"/>
          <w:sz w:val="24"/>
          <w:szCs w:val="24"/>
          <w:lang w:val="en-US"/>
        </w:rPr>
        <w:t xml:space="preserve"> Engineering Formulas, </w:t>
      </w:r>
      <w:proofErr w:type="spellStart"/>
      <w:r w:rsidRPr="0075370E">
        <w:rPr>
          <w:rFonts w:ascii="Arial" w:hAnsi="Arial" w:cs="Arial"/>
          <w:sz w:val="24"/>
          <w:szCs w:val="24"/>
          <w:lang w:val="en-US"/>
        </w:rPr>
        <w:t>Gieck</w:t>
      </w:r>
      <w:proofErr w:type="spellEnd"/>
      <w:r w:rsidRPr="0075370E">
        <w:rPr>
          <w:rFonts w:ascii="Arial" w:hAnsi="Arial" w:cs="Arial"/>
          <w:sz w:val="24"/>
          <w:szCs w:val="24"/>
          <w:lang w:val="en-US"/>
        </w:rPr>
        <w:t>, 1986, McGraw-Hill</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Flujo magnético Φ</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Φ = 1 / N ʃ v </w:t>
      </w:r>
      <w:proofErr w:type="spellStart"/>
      <w:r w:rsidRPr="0075370E">
        <w:rPr>
          <w:rFonts w:ascii="Arial" w:hAnsi="Arial" w:cs="Arial"/>
          <w:sz w:val="24"/>
          <w:szCs w:val="24"/>
        </w:rPr>
        <w:t>dt</w:t>
      </w:r>
      <w:proofErr w:type="spellEnd"/>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Aquí N es el número de vueltas de una bobina y v el voltaje inducido, cuando el flujo magnético Φ vinculado con la bobina varía con el tiempo.</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Inducción magnética (densidad de flujo) B</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La inducción magnética en una sección transversal A es</w:t>
      </w: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B = Φ / A</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Aquí A es el área de la sección transversal atravesada perpendicularmente por el flujo magnético homogéneo Φ.</w:t>
      </w:r>
    </w:p>
    <w:p w:rsidR="00556202" w:rsidRDefault="00556202" w:rsidP="0075370E">
      <w:pPr>
        <w:spacing w:after="0" w:line="240" w:lineRule="auto"/>
        <w:jc w:val="both"/>
        <w:rPr>
          <w:rFonts w:ascii="Arial" w:hAnsi="Arial" w:cs="Arial"/>
          <w:sz w:val="24"/>
          <w:szCs w:val="24"/>
          <w:lang w:val="en-US"/>
        </w:rPr>
      </w:pPr>
    </w:p>
    <w:p w:rsidR="0075370E" w:rsidRPr="0075370E" w:rsidRDefault="0075370E" w:rsidP="0075370E">
      <w:pPr>
        <w:spacing w:after="0" w:line="240" w:lineRule="auto"/>
        <w:jc w:val="both"/>
        <w:rPr>
          <w:rFonts w:ascii="Arial" w:hAnsi="Arial" w:cs="Arial"/>
          <w:sz w:val="24"/>
          <w:szCs w:val="24"/>
          <w:lang w:val="en-US"/>
        </w:rPr>
      </w:pPr>
      <w:proofErr w:type="spellStart"/>
      <w:r w:rsidRPr="0075370E">
        <w:rPr>
          <w:rFonts w:ascii="Arial" w:hAnsi="Arial" w:cs="Arial"/>
          <w:sz w:val="24"/>
          <w:szCs w:val="24"/>
          <w:lang w:val="en-US"/>
        </w:rPr>
        <w:t>Inductancia</w:t>
      </w:r>
      <w:proofErr w:type="spellEnd"/>
      <w:r w:rsidRPr="0075370E">
        <w:rPr>
          <w:rFonts w:ascii="Arial" w:hAnsi="Arial" w:cs="Arial"/>
          <w:sz w:val="24"/>
          <w:szCs w:val="24"/>
          <w:lang w:val="en-US"/>
        </w:rPr>
        <w:t xml:space="preserve"> L</w:t>
      </w:r>
    </w:p>
    <w:p w:rsidR="0075370E" w:rsidRPr="0075370E" w:rsidRDefault="0075370E" w:rsidP="0075370E">
      <w:pPr>
        <w:spacing w:after="0" w:line="240" w:lineRule="auto"/>
        <w:jc w:val="both"/>
        <w:rPr>
          <w:rFonts w:ascii="Arial" w:hAnsi="Arial" w:cs="Arial"/>
          <w:sz w:val="24"/>
          <w:szCs w:val="24"/>
          <w:lang w:val="en-US"/>
        </w:rPr>
      </w:pPr>
      <w:r w:rsidRPr="0075370E">
        <w:rPr>
          <w:rFonts w:ascii="Arial" w:hAnsi="Arial" w:cs="Arial"/>
          <w:sz w:val="24"/>
          <w:szCs w:val="24"/>
          <w:lang w:val="en-US"/>
        </w:rPr>
        <w:t xml:space="preserve">L = N </w:t>
      </w:r>
      <w:r w:rsidRPr="0075370E">
        <w:rPr>
          <w:rFonts w:ascii="Arial" w:hAnsi="Arial" w:cs="Arial"/>
          <w:sz w:val="24"/>
          <w:szCs w:val="24"/>
        </w:rPr>
        <w:t>Φ</w:t>
      </w:r>
      <w:r w:rsidRPr="0075370E">
        <w:rPr>
          <w:rFonts w:ascii="Arial" w:hAnsi="Arial" w:cs="Arial"/>
          <w:sz w:val="24"/>
          <w:szCs w:val="24"/>
          <w:lang w:val="en-US"/>
        </w:rPr>
        <w:t xml:space="preserve"> / I = N </w:t>
      </w:r>
      <w:r w:rsidRPr="0075370E">
        <w:rPr>
          <w:rFonts w:ascii="Arial" w:hAnsi="Arial" w:cs="Arial"/>
          <w:sz w:val="24"/>
          <w:szCs w:val="24"/>
        </w:rPr>
        <w:t>Φ</w:t>
      </w:r>
      <w:r w:rsidRPr="0075370E">
        <w:rPr>
          <w:rFonts w:ascii="Arial" w:hAnsi="Arial" w:cs="Arial"/>
          <w:sz w:val="24"/>
          <w:szCs w:val="24"/>
          <w:lang w:val="en-US"/>
        </w:rPr>
        <w:t xml:space="preserve">t / </w:t>
      </w:r>
      <w:proofErr w:type="spellStart"/>
      <w:r w:rsidRPr="0075370E">
        <w:rPr>
          <w:rFonts w:ascii="Arial" w:hAnsi="Arial" w:cs="Arial"/>
          <w:sz w:val="24"/>
          <w:szCs w:val="24"/>
          <w:lang w:val="en-US"/>
        </w:rPr>
        <w:t>i</w:t>
      </w:r>
      <w:proofErr w:type="spellEnd"/>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Aquí está la corriente que fluye a través de una bobina de N vueltas y Φ el flujo magnético vinculado con esta bobina.</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Bajo estas reglas, aunque la corriente no puede reducirse a 0, ya que esto generaría un error, la fuerza magnética de una bobina electromagnética es una función del voltaje y el número de vueltas de la bobina. Una bobina fenomenalmente fuerte puede transportar una corriente fenomenalmente débil. Por lo tanto, mediante un </w:t>
      </w:r>
      <w:r w:rsidRPr="0075370E">
        <w:rPr>
          <w:rFonts w:ascii="Arial" w:hAnsi="Arial" w:cs="Arial"/>
          <w:sz w:val="24"/>
          <w:szCs w:val="24"/>
        </w:rPr>
        <w:lastRenderedPageBreak/>
        <w:t>diseño correcto, la disipación de potencia puede reducirse en motores eléctricos de acuerdo con la ley de E = mc2.</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Una forma de reducir drásticamente la disipación de potencia sin reducir la fuerza magnética de una bobina magnética es simplemente aumentando el número de vueltas utilizando un cable mucho más fino (más delgado, de mayor calibre). Para cualquier voltaje dado, la mayor longitud del cable reduce la corriente, mientras que el mayor número de vueltas fortalece el campo magnético. Esta ha sido una ley científica reconocida y establecida de electromagnetismo durante casi doscientos años, que ha sido intencionada y fraudulentamente ignorada y suprimida por las industrias de energía que monopolizan tanto la generación de energía como los diseños industriales de motores eléctricos destinados a los mercados de consumo. El inventor Joseph Newman demostró estas leyes electromagnéticas y otros principios de diseño eficiente de motores en la tercera sesión del Parlamento Mundial Provisional en 1987.</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Las características de diseño adicionales que pueden aumentar la eficiencia de los sistemas eléctricos al reducir la disipación de energía general incluyen la utilización de la fuerza electromagnética posterior (como lo muestra Joseph Newman), el aumento de la frecuencia de los pulsos eléctricos en los sistemas electromagnéticos (como lo muestran Newman y </w:t>
      </w:r>
      <w:proofErr w:type="spellStart"/>
      <w:r w:rsidRPr="0075370E">
        <w:rPr>
          <w:rFonts w:ascii="Arial" w:hAnsi="Arial" w:cs="Arial"/>
          <w:sz w:val="24"/>
          <w:szCs w:val="24"/>
        </w:rPr>
        <w:t>Bedini</w:t>
      </w:r>
      <w:proofErr w:type="spellEnd"/>
      <w:r w:rsidRPr="0075370E">
        <w:rPr>
          <w:rFonts w:ascii="Arial" w:hAnsi="Arial" w:cs="Arial"/>
          <w:sz w:val="24"/>
          <w:szCs w:val="24"/>
        </w:rPr>
        <w:t>) y una mayor reducción en el espesor de la placa magnética en laminaciones para piezas de motor.</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Decenas de otros inventores, ingenieros y diseñadores han replicado estos sistemas más eficientes, o han diseñado sus propios circuitos eléctricos altamente eficientes.</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 xml:space="preserve">Entre otras tecnologías y diseños, mediante el uso de nanotecnología para la producción en estado sólido de bobinas y tapas </w:t>
      </w:r>
      <w:proofErr w:type="spellStart"/>
      <w:r w:rsidRPr="0075370E">
        <w:rPr>
          <w:rFonts w:ascii="Arial" w:hAnsi="Arial" w:cs="Arial"/>
          <w:sz w:val="24"/>
          <w:szCs w:val="24"/>
        </w:rPr>
        <w:t>permeabilizadoras</w:t>
      </w:r>
      <w:proofErr w:type="spellEnd"/>
      <w:r w:rsidRPr="0075370E">
        <w:rPr>
          <w:rFonts w:ascii="Arial" w:hAnsi="Arial" w:cs="Arial"/>
          <w:sz w:val="24"/>
          <w:szCs w:val="24"/>
        </w:rPr>
        <w:t xml:space="preserve"> (actualización de placas de bobinas de motor laminadas), la disipación de potencia se puede llevar a niveles más relativamente cercanos a cero en comparación con los sistemas convencionales en uso hoy en día.</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Los motores eléctricos más eficientes son solo un aspecto de una respuesta completa de los cambios sociales que la humanidad debe emprender para conservar la biosfera de manera viable. ¡Juntos, trabajemos para promover la vida!</w:t>
      </w:r>
    </w:p>
    <w:p w:rsidR="00556202" w:rsidRDefault="00556202" w:rsidP="0075370E">
      <w:pPr>
        <w:spacing w:after="0" w:line="240" w:lineRule="auto"/>
        <w:jc w:val="both"/>
        <w:rPr>
          <w:rFonts w:ascii="Arial" w:hAnsi="Arial" w:cs="Arial"/>
          <w:sz w:val="24"/>
          <w:szCs w:val="24"/>
        </w:rPr>
      </w:pPr>
    </w:p>
    <w:p w:rsidR="0075370E" w:rsidRPr="0075370E" w:rsidRDefault="0075370E" w:rsidP="0075370E">
      <w:pPr>
        <w:spacing w:after="0" w:line="240" w:lineRule="auto"/>
        <w:jc w:val="both"/>
        <w:rPr>
          <w:rFonts w:ascii="Arial" w:hAnsi="Arial" w:cs="Arial"/>
          <w:sz w:val="24"/>
          <w:szCs w:val="24"/>
        </w:rPr>
      </w:pPr>
      <w:r w:rsidRPr="0075370E">
        <w:rPr>
          <w:rFonts w:ascii="Arial" w:hAnsi="Arial" w:cs="Arial"/>
          <w:sz w:val="24"/>
          <w:szCs w:val="24"/>
        </w:rPr>
        <w:t>Fax IOWP: 1-540-831-5919</w:t>
      </w:r>
      <w:bookmarkStart w:id="0" w:name="_GoBack"/>
      <w:bookmarkEnd w:id="0"/>
    </w:p>
    <w:sectPr w:rsidR="0075370E" w:rsidRPr="007537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0E"/>
    <w:rsid w:val="00556202"/>
    <w:rsid w:val="0075370E"/>
    <w:rsid w:val="00786147"/>
    <w:rsid w:val="00934B98"/>
    <w:rsid w:val="00B734C5"/>
    <w:rsid w:val="00D54774"/>
    <w:rsid w:val="00D84BE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D2309-694A-403C-A439-743F1B79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3731</Words>
  <Characters>21493</Characters>
  <Application>Microsoft Office Word</Application>
  <DocSecurity>0</DocSecurity>
  <Lines>383</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2019-12-03T17:39:00Z</dcterms:created>
  <dcterms:modified xsi:type="dcterms:W3CDTF">2019-12-03T18:03:00Z</dcterms:modified>
</cp:coreProperties>
</file>