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36" w:rsidRPr="00A37B45" w:rsidRDefault="00A37B45" w:rsidP="00A37B4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Legislativa</w:t>
      </w:r>
      <w:r w:rsidR="00A95636" w:rsidRPr="00A37B45">
        <w:rPr>
          <w:rFonts w:ascii="Arial" w:hAnsi="Arial" w:cs="Arial"/>
          <w:b/>
          <w:sz w:val="24"/>
          <w:szCs w:val="24"/>
        </w:rPr>
        <w:t xml:space="preserve"> Mundial # 34 Procedimiento de desmantelamiento de armas nucleares</w:t>
      </w:r>
      <w:bookmarkStart w:id="0" w:name="_GoBack"/>
      <w:bookmarkEnd w:id="0"/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Título corto:</w:t>
      </w:r>
      <w:r w:rsidR="00A37B45">
        <w:rPr>
          <w:rFonts w:ascii="Arial" w:hAnsi="Arial" w:cs="Arial"/>
          <w:sz w:val="24"/>
          <w:szCs w:val="24"/>
        </w:rPr>
        <w:t xml:space="preserve"> </w:t>
      </w:r>
      <w:r w:rsidRPr="00A37B45">
        <w:rPr>
          <w:rFonts w:ascii="Arial" w:hAnsi="Arial" w:cs="Arial"/>
          <w:sz w:val="24"/>
          <w:szCs w:val="24"/>
        </w:rPr>
        <w:t>Procedimiento de desmontaje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(Resumen: Protocolo para la Eliminación de Armas Nucleares junto con todas las Armas de Destrucción Masiva y Transportes)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 xml:space="preserve">                                                       Notas sobre el procedimiento de desmontaje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1. El Modelo de Convención sobre Armas Nucleares (UNGA # A / 62/650) fue preparado por un consorcio de científicos, abogados, expertos en desarme, académicos y funcionarios como un documento de debate para ayudar en las deliberaciones y posibles negociaciones que conduzcan a la prohibición y eliminación de armas nucleares. En él se describen los elementos legales, técnicos y políticos que podrían utilizarse en una convención o paquete / marco de acuerdos sobre armas nucleares real. Los redactores no asumieron que el convenio o paquete de acuerdos final acordado sería exactamente el mismo que en su modelo o en esta Ley. Sin embargo, los redactores creen que el Modelo (en el que se basa esta Ley) demuestra la viabilidad y practicidad del desarme nuclear. Para una discusión sobre estos temas, ver Asegurar nuestra supervivencia: el caso de una Convención sobre armas nucleares, Médicos internacionales para la prevención de la guerra nuclear (IPPNW), Red parlamentaria para el desarme nuclear (PNND) y la Asociación Internacional de Abogados contra las Armas Nucleares (IALANA ), Cambridge, Estados Unidos, 2007.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2. [Corchetes] se refiere al texto que no ha sido acordado por todos los redactores o que sugiere enfoques alternativos. El texto hace referencia a un “Anexo de Verificación” que formaría parte integral del Procedimiento de Desmantelamiento final, pero no está incluido en esta Ley.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(Paréntesis) se refieren a uno de los siguientes: 1. Aposición dentro del contexto de la Ley, para identificar correctamente los sinónimos; 2. Las secciones correspondientes dentro de A / 62/650, o 3. Notación editorial, por ejemplo, para comentar las diferencias con las versiones anteriores de la ley.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3. Las notas a pie de página de esta versión parcialmente absorta describen principalmente los tipos de enmiendas hechas de WLA # 34 (2006), utilizando abreviaturas después del etiquetado de tipo de enmienda inicial dentro de las notas a pie de página: mejoras técnicas / legales (TL) de A / 62/650 sobre A / C.1 / 52/7 (La mayoría de las enmiendas fueron de este tipo.), Consistencia constitucional (CC) para ajustarse a las disposiciones de la Constitución de la Tierra, o correctiva / integradora (CI) para corregir errores de la versión de 2006 o pulir las disposiciones para que se ajusten junto con otra legislación mundial existente.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lastRenderedPageBreak/>
        <w:t>Como ayuda para la investigación y las referencias cruzadas, hay marcadores para identificar las páginas correspondientes dentro de la versión en inglés .</w:t>
      </w:r>
      <w:proofErr w:type="spellStart"/>
      <w:r w:rsidRPr="00A37B45">
        <w:rPr>
          <w:rFonts w:ascii="Arial" w:hAnsi="Arial" w:cs="Arial"/>
          <w:sz w:val="24"/>
          <w:szCs w:val="24"/>
        </w:rPr>
        <w:t>pdf</w:t>
      </w:r>
      <w:proofErr w:type="spellEnd"/>
      <w:r w:rsidRPr="00A37B45">
        <w:rPr>
          <w:rFonts w:ascii="Arial" w:hAnsi="Arial" w:cs="Arial"/>
          <w:sz w:val="24"/>
          <w:szCs w:val="24"/>
        </w:rPr>
        <w:t xml:space="preserve"> de A / 62/650. Estos aparecen en verde, así: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A / 62/650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8 08-21377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>Donde el código 08-21377 se refiere al .</w:t>
      </w:r>
      <w:proofErr w:type="spellStart"/>
      <w:r w:rsidRPr="00A37B45">
        <w:rPr>
          <w:rFonts w:ascii="Arial" w:hAnsi="Arial" w:cs="Arial"/>
          <w:sz w:val="24"/>
          <w:szCs w:val="24"/>
        </w:rPr>
        <w:t>pdf</w:t>
      </w:r>
      <w:proofErr w:type="spellEnd"/>
      <w:r w:rsidRPr="00A37B45">
        <w:rPr>
          <w:rFonts w:ascii="Arial" w:hAnsi="Arial" w:cs="Arial"/>
          <w:sz w:val="24"/>
          <w:szCs w:val="24"/>
        </w:rPr>
        <w:t xml:space="preserve"> y el 8 se refiere a la página marcada dentro del .</w:t>
      </w:r>
      <w:proofErr w:type="spellStart"/>
      <w:r w:rsidRPr="00A37B45">
        <w:rPr>
          <w:rFonts w:ascii="Arial" w:hAnsi="Arial" w:cs="Arial"/>
          <w:sz w:val="24"/>
          <w:szCs w:val="24"/>
        </w:rPr>
        <w:t>pdf</w:t>
      </w:r>
      <w:proofErr w:type="spellEnd"/>
      <w:r w:rsidRPr="00A37B45">
        <w:rPr>
          <w:rFonts w:ascii="Arial" w:hAnsi="Arial" w:cs="Arial"/>
          <w:sz w:val="24"/>
          <w:szCs w:val="24"/>
        </w:rPr>
        <w:t>. Las páginas impares conservan el número de página a la derecha del código.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 xml:space="preserve">El Parlamento Mundial Provisional derivó originalmente el texto base para el Procedimiento de Desmantelamiento del Modelo de Convención sobre Armas Nucleares de la Asamblea General de las Naciones Unidas Documento Oficial A / C.1 / 52/7, elaborado por la Asociación Internacional de Abogados contra las Armas Nucleares en asociación con Costa Rica y otras ONG. (http://www.ialana.net) El Protocolo de Eliminación fue adoptado como Acto Legislativo Mundial # 34 por la novena sesión del Parlamento Mundial Provisional convocada en Trípoli, Libia, el 12 de abril de 2006, de conformidad con el Artículo 19 de la Constitución de la Federación. </w:t>
      </w:r>
      <w:proofErr w:type="gramStart"/>
      <w:r w:rsidRPr="00A37B45">
        <w:rPr>
          <w:rFonts w:ascii="Arial" w:hAnsi="Arial" w:cs="Arial"/>
          <w:sz w:val="24"/>
          <w:szCs w:val="24"/>
        </w:rPr>
        <w:t>de</w:t>
      </w:r>
      <w:proofErr w:type="gramEnd"/>
      <w:r w:rsidRPr="00A37B45">
        <w:rPr>
          <w:rFonts w:ascii="Arial" w:hAnsi="Arial" w:cs="Arial"/>
          <w:sz w:val="24"/>
          <w:szCs w:val="24"/>
        </w:rPr>
        <w:t xml:space="preserve"> la tierra.</w:t>
      </w:r>
    </w:p>
    <w:p w:rsidR="00A95636" w:rsidRPr="00A37B45" w:rsidRDefault="00A95636" w:rsidP="00A37B45">
      <w:pPr>
        <w:jc w:val="both"/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 xml:space="preserve">En la undécima sesión del Parlamento Mundial Provisional, el 4 de julio de 2009, convocada en el Van </w:t>
      </w:r>
      <w:proofErr w:type="spellStart"/>
      <w:r w:rsidRPr="00A37B45">
        <w:rPr>
          <w:rFonts w:ascii="Arial" w:hAnsi="Arial" w:cs="Arial"/>
          <w:sz w:val="24"/>
          <w:szCs w:val="24"/>
        </w:rPr>
        <w:t>Niwas</w:t>
      </w:r>
      <w:proofErr w:type="spellEnd"/>
      <w:r w:rsidRPr="00A37B45">
        <w:rPr>
          <w:rFonts w:ascii="Arial" w:hAnsi="Arial" w:cs="Arial"/>
          <w:sz w:val="24"/>
          <w:szCs w:val="24"/>
        </w:rPr>
        <w:t xml:space="preserve"> Sri Aurobindo </w:t>
      </w:r>
      <w:proofErr w:type="spellStart"/>
      <w:r w:rsidRPr="00A37B45">
        <w:rPr>
          <w:rFonts w:ascii="Arial" w:hAnsi="Arial" w:cs="Arial"/>
          <w:sz w:val="24"/>
          <w:szCs w:val="24"/>
        </w:rPr>
        <w:t>Ashram</w:t>
      </w:r>
      <w:proofErr w:type="spellEnd"/>
      <w:r w:rsidRPr="00A37B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B45">
        <w:rPr>
          <w:rFonts w:ascii="Arial" w:hAnsi="Arial" w:cs="Arial"/>
          <w:sz w:val="24"/>
          <w:szCs w:val="24"/>
        </w:rPr>
        <w:t>Nainital</w:t>
      </w:r>
      <w:proofErr w:type="spellEnd"/>
      <w:r w:rsidRPr="00A37B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B45">
        <w:rPr>
          <w:rFonts w:ascii="Arial" w:hAnsi="Arial" w:cs="Arial"/>
          <w:sz w:val="24"/>
          <w:szCs w:val="24"/>
        </w:rPr>
        <w:t>Uttarakhand</w:t>
      </w:r>
      <w:proofErr w:type="spellEnd"/>
      <w:r w:rsidRPr="00A37B45">
        <w:rPr>
          <w:rFonts w:ascii="Arial" w:hAnsi="Arial" w:cs="Arial"/>
          <w:sz w:val="24"/>
          <w:szCs w:val="24"/>
        </w:rPr>
        <w:t>, India, el Parlamento adoptó enmiendas sustanciales a la Ley, basándose en la AGNU A / 62/650 y en el borrador Bill Especificaciones de uranio empobrecido.</w:t>
      </w:r>
    </w:p>
    <w:p w:rsidR="008128A5" w:rsidRPr="00A37B45" w:rsidRDefault="00A95636" w:rsidP="00A37B45">
      <w:pPr>
        <w:rPr>
          <w:rFonts w:ascii="Arial" w:hAnsi="Arial" w:cs="Arial"/>
          <w:sz w:val="24"/>
          <w:szCs w:val="24"/>
        </w:rPr>
      </w:pPr>
      <w:r w:rsidRPr="00A37B45">
        <w:rPr>
          <w:rFonts w:ascii="Arial" w:hAnsi="Arial" w:cs="Arial"/>
          <w:sz w:val="24"/>
          <w:szCs w:val="24"/>
        </w:rPr>
        <w:t xml:space="preserve">Entre otras decisiones en </w:t>
      </w:r>
      <w:proofErr w:type="spellStart"/>
      <w:r w:rsidRPr="00A37B45">
        <w:rPr>
          <w:rFonts w:ascii="Arial" w:hAnsi="Arial" w:cs="Arial"/>
          <w:sz w:val="24"/>
          <w:szCs w:val="24"/>
        </w:rPr>
        <w:t>Nainital</w:t>
      </w:r>
      <w:proofErr w:type="spellEnd"/>
      <w:r w:rsidRPr="00A37B45">
        <w:rPr>
          <w:rFonts w:ascii="Arial" w:hAnsi="Arial" w:cs="Arial"/>
          <w:sz w:val="24"/>
          <w:szCs w:val="24"/>
        </w:rPr>
        <w:t>, el Parlamento adoptó el cambio de nombre de la Ley a Procedimiento de Desmantelamiento de Armas Nucleares, o Procedimiento de Desmantelamiento, para abreviar.</w:t>
      </w:r>
    </w:p>
    <w:sectPr w:rsidR="008128A5" w:rsidRPr="00A37B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36"/>
    <w:rsid w:val="00786147"/>
    <w:rsid w:val="00A37B45"/>
    <w:rsid w:val="00A95636"/>
    <w:rsid w:val="00B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80D80F-3259-4B3D-892D-A1741A41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3651</Characters>
  <Application>Microsoft Office Word</Application>
  <DocSecurity>0</DocSecurity>
  <Lines>74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cook</dc:creator>
  <cp:keywords/>
  <dc:description/>
  <cp:lastModifiedBy>camilo cook</cp:lastModifiedBy>
  <cp:revision>2</cp:revision>
  <dcterms:created xsi:type="dcterms:W3CDTF">2020-09-05T18:33:00Z</dcterms:created>
  <dcterms:modified xsi:type="dcterms:W3CDTF">2020-09-05T19:02:00Z</dcterms:modified>
</cp:coreProperties>
</file>